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91DDC5">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cs="宋体"/>
          <w:b/>
          <w:bCs/>
          <w:color w:val="auto"/>
          <w:sz w:val="44"/>
          <w:szCs w:val="44"/>
          <w:highlight w:val="none"/>
        </w:rPr>
      </w:pPr>
    </w:p>
    <w:p w14:paraId="46AFC3E0">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平安滨海建设（一校四中心）项目</w:t>
      </w:r>
    </w:p>
    <w:p w14:paraId="24C05378">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auto"/>
          <w:sz w:val="44"/>
          <w:szCs w:val="44"/>
          <w:highlight w:val="none"/>
        </w:rPr>
      </w:pPr>
      <w:r>
        <w:rPr>
          <w:rFonts w:hint="eastAsia" w:ascii="方正小标宋_GBK" w:hAnsi="方正小标宋_GBK" w:eastAsia="方正小标宋_GBK" w:cs="方正小标宋_GBK"/>
          <w:b w:val="0"/>
          <w:bCs w:val="0"/>
          <w:color w:val="auto"/>
          <w:sz w:val="44"/>
          <w:szCs w:val="44"/>
          <w:highlight w:val="none"/>
        </w:rPr>
        <w:t>房屋征收补偿方案</w:t>
      </w:r>
    </w:p>
    <w:p w14:paraId="1C2D2295">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楷体_GBK" w:cs="方正楷体_GBK"/>
          <w:b/>
          <w:bCs/>
          <w:color w:val="auto"/>
          <w:sz w:val="32"/>
          <w:szCs w:val="32"/>
          <w:highlight w:val="none"/>
          <w:lang w:eastAsia="zh-CN"/>
        </w:rPr>
      </w:pPr>
      <w:r>
        <w:rPr>
          <w:rFonts w:hint="eastAsia" w:ascii="Times New Roman" w:hAnsi="Times New Roman" w:eastAsia="方正楷体_GBK" w:cs="方正楷体_GBK"/>
          <w:b/>
          <w:bCs/>
          <w:color w:val="auto"/>
          <w:sz w:val="32"/>
          <w:szCs w:val="32"/>
          <w:highlight w:val="none"/>
          <w:lang w:eastAsia="zh-CN"/>
        </w:rPr>
        <w:t>（</w:t>
      </w:r>
      <w:r>
        <w:rPr>
          <w:rFonts w:hint="eastAsia" w:ascii="Times New Roman" w:hAnsi="Times New Roman" w:eastAsia="方正楷体_GBK" w:cs="方正楷体_GBK"/>
          <w:b/>
          <w:bCs/>
          <w:color w:val="auto"/>
          <w:sz w:val="32"/>
          <w:szCs w:val="32"/>
          <w:highlight w:val="none"/>
          <w:lang w:val="en-US" w:eastAsia="zh-CN"/>
        </w:rPr>
        <w:t>征求意见</w:t>
      </w:r>
      <w:r>
        <w:rPr>
          <w:rFonts w:hint="eastAsia" w:ascii="Times New Roman" w:hAnsi="Times New Roman" w:eastAsia="方正楷体_GBK" w:cs="方正楷体_GBK"/>
          <w:b/>
          <w:bCs/>
          <w:color w:val="auto"/>
          <w:sz w:val="32"/>
          <w:szCs w:val="32"/>
          <w:highlight w:val="none"/>
          <w:lang w:eastAsia="zh-CN"/>
        </w:rPr>
        <w:t>稿）</w:t>
      </w:r>
    </w:p>
    <w:p w14:paraId="0F78C53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 w:cs="仿宋"/>
          <w:color w:val="auto"/>
          <w:sz w:val="32"/>
          <w:szCs w:val="32"/>
          <w:highlight w:val="none"/>
        </w:rPr>
      </w:pPr>
    </w:p>
    <w:p w14:paraId="3529281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为依法实施</w:t>
      </w:r>
      <w:r>
        <w:rPr>
          <w:rFonts w:hint="eastAsia" w:ascii="Times New Roman" w:hAnsi="Times New Roman" w:eastAsia="方正仿宋_GBK" w:cs="方正仿宋_GBK"/>
          <w:color w:val="auto"/>
          <w:sz w:val="32"/>
          <w:szCs w:val="32"/>
          <w:highlight w:val="none"/>
          <w:lang w:val="en-US" w:eastAsia="zh-CN"/>
        </w:rPr>
        <w:t>平安滨海建设（一校四中心）项目</w:t>
      </w:r>
      <w:r>
        <w:rPr>
          <w:rFonts w:hint="eastAsia" w:ascii="Times New Roman" w:hAnsi="Times New Roman" w:eastAsia="方正仿宋_GBK" w:cs="方正仿宋_GBK"/>
          <w:color w:val="auto"/>
          <w:sz w:val="32"/>
          <w:szCs w:val="32"/>
          <w:highlight w:val="none"/>
        </w:rPr>
        <w:t>建设范围内的房屋征收,维护被征收人的合法权益,保障房屋征收工作顺利推进,根据《国有土地上房屋征收与补偿条例》等</w:t>
      </w:r>
      <w:r>
        <w:rPr>
          <w:rFonts w:hint="eastAsia" w:ascii="Times New Roman" w:hAnsi="Times New Roman" w:eastAsia="方正仿宋_GBK" w:cs="方正仿宋_GBK"/>
          <w:color w:val="auto"/>
          <w:sz w:val="32"/>
          <w:szCs w:val="32"/>
          <w:highlight w:val="none"/>
          <w:lang w:val="en-US" w:eastAsia="zh-CN"/>
        </w:rPr>
        <w:t>有关法律法规和国家、省、市政策规定，</w:t>
      </w:r>
      <w:r>
        <w:rPr>
          <w:rFonts w:hint="eastAsia" w:ascii="Times New Roman" w:hAnsi="Times New Roman" w:eastAsia="方正仿宋_GBK" w:cs="方正仿宋_GBK"/>
          <w:color w:val="auto"/>
          <w:sz w:val="32"/>
          <w:szCs w:val="32"/>
          <w:highlight w:val="none"/>
        </w:rPr>
        <w:t>特制定房屋征收补偿方案如下:</w:t>
      </w:r>
    </w:p>
    <w:p w14:paraId="0B447E6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一、征收范围</w:t>
      </w:r>
    </w:p>
    <w:p w14:paraId="7C66CFD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房屋征收范围详见</w:t>
      </w:r>
      <w:r>
        <w:rPr>
          <w:rFonts w:hint="eastAsia" w:ascii="Times New Roman" w:hAnsi="Times New Roman" w:eastAsia="方正仿宋_GBK" w:cs="方正仿宋_GBK"/>
          <w:color w:val="auto"/>
          <w:sz w:val="32"/>
          <w:szCs w:val="32"/>
          <w:highlight w:val="none"/>
          <w:lang w:val="en-US" w:eastAsia="zh-CN"/>
        </w:rPr>
        <w:t>平安滨海建设（一校四中心）项目选址红线图</w:t>
      </w:r>
      <w:r>
        <w:rPr>
          <w:rFonts w:hint="eastAsia" w:ascii="Times New Roman" w:hAnsi="Times New Roman" w:eastAsia="方正仿宋_GBK" w:cs="方正仿宋_GBK"/>
          <w:color w:val="auto"/>
          <w:sz w:val="32"/>
          <w:szCs w:val="32"/>
          <w:highlight w:val="none"/>
        </w:rPr>
        <w:t>。</w:t>
      </w:r>
    </w:p>
    <w:p w14:paraId="3D6B937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二、征收单位</w:t>
      </w:r>
    </w:p>
    <w:p w14:paraId="0F9880C1">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楷体_GBK" w:cs="方正楷体_GBK"/>
          <w:b/>
          <w:bCs/>
          <w:color w:val="auto"/>
          <w:sz w:val="32"/>
          <w:szCs w:val="32"/>
          <w:highlight w:val="none"/>
        </w:rPr>
        <w:t>房屋征收部门</w:t>
      </w:r>
      <w:r>
        <w:rPr>
          <w:rFonts w:hint="eastAsia" w:ascii="Times New Roman" w:hAnsi="Times New Roman" w:eastAsia="方正楷体_GBK" w:cs="方正楷体_GBK"/>
          <w:b/>
          <w:bCs/>
          <w:color w:val="auto"/>
          <w:sz w:val="32"/>
          <w:szCs w:val="32"/>
          <w:highlight w:val="none"/>
          <w:lang w:eastAsia="zh-CN"/>
        </w:rPr>
        <w:t>：</w:t>
      </w:r>
      <w:r>
        <w:rPr>
          <w:rFonts w:hint="eastAsia" w:ascii="Times New Roman" w:hAnsi="Times New Roman" w:eastAsia="方正仿宋_GBK" w:cs="方正仿宋_GBK"/>
          <w:color w:val="auto"/>
          <w:kern w:val="2"/>
          <w:sz w:val="32"/>
          <w:szCs w:val="32"/>
          <w:highlight w:val="none"/>
          <w:lang w:val="en-US" w:eastAsia="zh-CN" w:bidi="ar-SA"/>
        </w:rPr>
        <w:t xml:space="preserve">滨海县住房和城乡建设局 </w:t>
      </w:r>
    </w:p>
    <w:p w14:paraId="5E1D51D1">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kern w:val="2"/>
          <w:sz w:val="32"/>
          <w:szCs w:val="32"/>
          <w:highlight w:val="none"/>
          <w:lang w:val="en-US" w:eastAsia="zh-CN" w:bidi="ar-SA"/>
        </w:rPr>
      </w:pPr>
      <w:r>
        <w:rPr>
          <w:rFonts w:hint="eastAsia" w:ascii="Times New Roman" w:hAnsi="Times New Roman" w:eastAsia="方正楷体_GBK" w:cs="方正楷体_GBK"/>
          <w:b/>
          <w:bCs/>
          <w:color w:val="auto"/>
          <w:sz w:val="32"/>
          <w:szCs w:val="32"/>
          <w:highlight w:val="none"/>
        </w:rPr>
        <w:t>房屋征收实施单位</w:t>
      </w:r>
      <w:r>
        <w:rPr>
          <w:rFonts w:hint="eastAsia" w:ascii="Times New Roman" w:hAnsi="Times New Roman" w:eastAsia="方正楷体_GBK" w:cs="方正楷体_GBK"/>
          <w:b/>
          <w:bCs/>
          <w:color w:val="auto"/>
          <w:sz w:val="32"/>
          <w:szCs w:val="32"/>
          <w:highlight w:val="none"/>
          <w:lang w:eastAsia="zh-CN"/>
        </w:rPr>
        <w:t>：</w:t>
      </w:r>
      <w:r>
        <w:rPr>
          <w:rFonts w:hint="eastAsia" w:ascii="Times New Roman" w:hAnsi="Times New Roman" w:eastAsia="方正仿宋_GBK" w:cs="方正仿宋_GBK"/>
          <w:color w:val="auto"/>
          <w:kern w:val="2"/>
          <w:sz w:val="32"/>
          <w:szCs w:val="32"/>
          <w:highlight w:val="none"/>
          <w:lang w:val="en-US" w:eastAsia="zh-CN" w:bidi="ar-SA"/>
        </w:rPr>
        <w:t>通榆镇人民政府</w:t>
      </w:r>
    </w:p>
    <w:p w14:paraId="583019A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三、征收补偿依据</w:t>
      </w:r>
    </w:p>
    <w:p w14:paraId="71829FAF">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国务院《国有土地上房屋征收与补偿条例》(国务院令第590号)、住建部《国有土地上房屋征收评估办法》(建房〔2011〕77号)、《江苏省贯彻实施&lt;国有土地上房屋征收与补偿条例&gt;若干问题的规定》(苏政发〔2011〕91号)、《盐</w:t>
      </w:r>
      <w:bookmarkStart w:id="0" w:name="_GoBack"/>
      <w:bookmarkEnd w:id="0"/>
      <w:r>
        <w:rPr>
          <w:rFonts w:hint="eastAsia" w:ascii="Times New Roman" w:hAnsi="Times New Roman" w:eastAsia="方正仿宋_GBK" w:cs="方正仿宋_GBK"/>
          <w:color w:val="auto"/>
          <w:sz w:val="32"/>
          <w:szCs w:val="32"/>
          <w:highlight w:val="none"/>
        </w:rPr>
        <w:t>城市国有土地上房屋征收与补偿办法》(盐政发〔2011〕210号)、《滨海县国有土地上房屋征收与补偿试行办法》（滨政发〔2011〕52号）及相关配套政策文件等规定。</w:t>
      </w:r>
    </w:p>
    <w:p w14:paraId="5D0D8E2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四、征收时间及实施步骤</w:t>
      </w:r>
    </w:p>
    <w:p w14:paraId="09C8E93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kern w:val="2"/>
          <w:sz w:val="32"/>
          <w:szCs w:val="32"/>
          <w:highlight w:val="none"/>
          <w:lang w:val="en-US" w:eastAsia="zh-CN" w:bidi="ar-SA"/>
        </w:rPr>
        <w:t>本项目计划实施征收时间为:自房屋征收决定公告发布之日起至征收结束止,实施步骤和签约期限以滨海县住房和城乡建设局在现场发布的相关公告为准。</w:t>
      </w:r>
    </w:p>
    <w:p w14:paraId="1FCD472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五、征收补偿与安置</w:t>
      </w:r>
    </w:p>
    <w:p w14:paraId="0398FB82">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楷体_GBK" w:cs="方正楷体_GBK"/>
          <w:b/>
          <w:bCs/>
          <w:color w:val="auto"/>
          <w:sz w:val="32"/>
          <w:szCs w:val="32"/>
          <w:highlight w:val="none"/>
        </w:rPr>
      </w:pPr>
      <w:r>
        <w:rPr>
          <w:rFonts w:hint="eastAsia" w:ascii="Times New Roman" w:hAnsi="Times New Roman" w:eastAsia="方正楷体_GBK" w:cs="方正楷体_GBK"/>
          <w:b/>
          <w:bCs/>
          <w:color w:val="auto"/>
          <w:sz w:val="32"/>
          <w:szCs w:val="32"/>
          <w:highlight w:val="none"/>
          <w:lang w:eastAsia="zh-CN"/>
        </w:rPr>
        <w:t>（</w:t>
      </w:r>
      <w:r>
        <w:rPr>
          <w:rFonts w:hint="eastAsia" w:ascii="Times New Roman" w:hAnsi="Times New Roman" w:eastAsia="方正楷体_GBK" w:cs="方正楷体_GBK"/>
          <w:b/>
          <w:bCs/>
          <w:color w:val="auto"/>
          <w:sz w:val="32"/>
          <w:szCs w:val="32"/>
          <w:highlight w:val="none"/>
          <w:lang w:val="en-US" w:eastAsia="zh-CN"/>
        </w:rPr>
        <w:t>一</w:t>
      </w:r>
      <w:r>
        <w:rPr>
          <w:rFonts w:hint="eastAsia" w:ascii="Times New Roman" w:hAnsi="Times New Roman" w:eastAsia="方正楷体_GBK" w:cs="方正楷体_GBK"/>
          <w:b/>
          <w:bCs/>
          <w:color w:val="auto"/>
          <w:sz w:val="32"/>
          <w:szCs w:val="32"/>
          <w:highlight w:val="none"/>
          <w:lang w:eastAsia="zh-CN"/>
        </w:rPr>
        <w:t>）</w:t>
      </w:r>
      <w:r>
        <w:rPr>
          <w:rFonts w:hint="eastAsia" w:ascii="Times New Roman" w:hAnsi="Times New Roman" w:eastAsia="方正楷体_GBK" w:cs="方正楷体_GBK"/>
          <w:b/>
          <w:bCs/>
          <w:color w:val="auto"/>
          <w:sz w:val="32"/>
          <w:szCs w:val="32"/>
          <w:highlight w:val="none"/>
        </w:rPr>
        <w:t>征收补偿方式</w:t>
      </w:r>
    </w:p>
    <w:p w14:paraId="6CFC5715">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方正仿宋_GBK" w:cs="方正仿宋_GBK"/>
          <w:i w:val="0"/>
          <w:iCs w:val="0"/>
          <w:color w:val="auto"/>
          <w:sz w:val="32"/>
          <w:szCs w:val="32"/>
          <w:highlight w:val="none"/>
          <w:lang w:val="en-US" w:eastAsia="zh-CN"/>
        </w:rPr>
      </w:pPr>
      <w:r>
        <w:rPr>
          <w:rFonts w:hint="eastAsia" w:ascii="Times New Roman" w:hAnsi="Times New Roman" w:eastAsia="方正仿宋_GBK" w:cs="方正仿宋_GBK"/>
          <w:i w:val="0"/>
          <w:iCs w:val="0"/>
          <w:color w:val="auto"/>
          <w:sz w:val="32"/>
          <w:szCs w:val="32"/>
          <w:highlight w:val="none"/>
          <w:lang w:val="en-US" w:eastAsia="zh-CN"/>
        </w:rPr>
        <w:t>住宅房屋补偿方式为货币补偿和产权调换两种，由被征收人自愿选择。非住宅房屋补偿方式为货币补偿。</w:t>
      </w:r>
    </w:p>
    <w:p w14:paraId="49EC2BBF">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方正仿宋_GBK" w:cs="方正仿宋_GBK"/>
          <w:b/>
          <w:bCs/>
          <w:color w:val="auto"/>
          <w:kern w:val="2"/>
          <w:sz w:val="32"/>
          <w:szCs w:val="32"/>
          <w:highlight w:val="none"/>
          <w:lang w:val="en-US" w:eastAsia="zh-CN" w:bidi="ar-SA"/>
        </w:rPr>
      </w:pPr>
      <w:r>
        <w:rPr>
          <w:rFonts w:hint="eastAsia" w:ascii="Times New Roman" w:hAnsi="Times New Roman" w:eastAsia="方正仿宋_GBK" w:cs="方正仿宋_GBK"/>
          <w:b/>
          <w:bCs/>
          <w:color w:val="auto"/>
          <w:kern w:val="2"/>
          <w:sz w:val="32"/>
          <w:szCs w:val="32"/>
          <w:highlight w:val="none"/>
          <w:lang w:val="en-US" w:eastAsia="zh-CN" w:bidi="ar-SA"/>
        </w:rPr>
        <w:t>1、货币补偿</w:t>
      </w:r>
    </w:p>
    <w:p w14:paraId="29EE5770">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方正仿宋_GBK" w:cs="方正仿宋_GBK"/>
          <w:i w:val="0"/>
          <w:iCs w:val="0"/>
          <w:color w:val="auto"/>
          <w:sz w:val="32"/>
          <w:szCs w:val="32"/>
          <w:highlight w:val="none"/>
          <w:lang w:val="en-US" w:eastAsia="zh-CN"/>
        </w:rPr>
      </w:pPr>
      <w:r>
        <w:rPr>
          <w:rFonts w:hint="eastAsia" w:ascii="Times New Roman" w:hAnsi="Times New Roman" w:eastAsia="方正仿宋_GBK" w:cs="方正仿宋_GBK"/>
          <w:i w:val="0"/>
          <w:iCs w:val="0"/>
          <w:color w:val="auto"/>
          <w:sz w:val="32"/>
          <w:szCs w:val="32"/>
          <w:highlight w:val="none"/>
          <w:lang w:val="en-US" w:eastAsia="zh-CN"/>
        </w:rPr>
        <w:t>货币补偿，是指在房屋征收补偿中，被征收人放弃安置，征收部门按照一定的补偿标准以货币的形式给予被征收人的补偿。</w:t>
      </w:r>
    </w:p>
    <w:p w14:paraId="3385962F">
      <w:pPr>
        <w:keepNext w:val="0"/>
        <w:keepLines w:val="0"/>
        <w:pageBreakBefore w:val="0"/>
        <w:widowControl w:val="0"/>
        <w:kinsoku/>
        <w:wordWrap/>
        <w:overflowPunct/>
        <w:topLinePunct w:val="0"/>
        <w:autoSpaceDE/>
        <w:autoSpaceDN/>
        <w:bidi w:val="0"/>
        <w:adjustRightInd/>
        <w:snapToGrid/>
        <w:spacing w:line="560" w:lineRule="exact"/>
        <w:ind w:firstLine="629"/>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kern w:val="2"/>
          <w:sz w:val="32"/>
          <w:szCs w:val="32"/>
          <w:highlight w:val="none"/>
          <w:lang w:val="en-US" w:eastAsia="zh-CN" w:bidi="ar-SA"/>
        </w:rPr>
        <w:t>2、产权调换</w:t>
      </w:r>
    </w:p>
    <w:p w14:paraId="2C3AB4B2">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color w:val="auto"/>
          <w:sz w:val="32"/>
          <w:szCs w:val="32"/>
          <w:highlight w:val="none"/>
          <w:lang w:val="en-US" w:eastAsia="zh-CN"/>
        </w:rPr>
      </w:pPr>
      <w:r>
        <w:rPr>
          <w:rFonts w:hint="eastAsia" w:ascii="Times New Roman" w:hAnsi="Times New Roman" w:eastAsia="方正仿宋_GBK" w:cs="方正仿宋_GBK"/>
          <w:b/>
          <w:bCs/>
          <w:color w:val="auto"/>
          <w:sz w:val="32"/>
          <w:szCs w:val="32"/>
          <w:highlight w:val="none"/>
          <w:lang w:val="en-US" w:eastAsia="zh-CN"/>
        </w:rPr>
        <w:t>（1）安置房房源及安置房价格</w:t>
      </w:r>
    </w:p>
    <w:p w14:paraId="280A49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本项目安置房源为万融广场小区，安置房源和结算价格:本项目安置房源为通榆镇万融广场，分别是:6栋16套(95㎡8套、100㎡8套)、7栋16套(110㎡8套、117㎡8套)、8栋24套(97㎡4套、111㎡4套、109㎡8套、116㎡8套)、9栋16套(93㎡8套、99㎡8套)、10栋28套(114㎡7套、109㎡7套、108㎡6套，96㎡8套)、11栋16套(131㎡8套、133㎡8套)总计116套。本次房屋安置价均价为2300元/㎡,市场价均价为2700元/㎡。安置房价格待评估机构选定后进行评估确定</w:t>
      </w:r>
      <w:r>
        <w:rPr>
          <w:rFonts w:hint="eastAsia" w:ascii="Times New Roman" w:hAnsi="Times New Roman" w:eastAsia="方正仿宋_GBK" w:cs="方正仿宋_GBK"/>
          <w:color w:val="auto"/>
          <w:sz w:val="32"/>
          <w:szCs w:val="32"/>
          <w:highlight w:val="none"/>
        </w:rPr>
        <w:t>。</w:t>
      </w:r>
    </w:p>
    <w:p w14:paraId="3A393881">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color w:val="auto"/>
          <w:sz w:val="32"/>
          <w:szCs w:val="32"/>
          <w:highlight w:val="none"/>
          <w:lang w:val="en-US" w:eastAsia="zh-CN"/>
        </w:rPr>
      </w:pPr>
      <w:r>
        <w:rPr>
          <w:rFonts w:hint="eastAsia" w:ascii="Times New Roman" w:hAnsi="Times New Roman" w:eastAsia="方正仿宋_GBK" w:cs="方正仿宋_GBK"/>
          <w:b/>
          <w:bCs/>
          <w:color w:val="auto"/>
          <w:sz w:val="32"/>
          <w:szCs w:val="32"/>
          <w:highlight w:val="none"/>
          <w:lang w:val="en-US" w:eastAsia="zh-CN"/>
        </w:rPr>
        <w:t>（2）安置房的结算方式</w:t>
      </w:r>
    </w:p>
    <w:p w14:paraId="2A890BA3">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被征收人可以自主选择安置房套型组合</w:t>
      </w:r>
      <w:r>
        <w:rPr>
          <w:rFonts w:hint="eastAsia" w:ascii="Times New Roman" w:hAnsi="Times New Roman" w:eastAsia="方正仿宋_GBK" w:cs="方正仿宋_GBK"/>
          <w:color w:val="auto"/>
          <w:sz w:val="32"/>
          <w:szCs w:val="32"/>
          <w:highlight w:val="none"/>
          <w:lang w:eastAsia="zh-CN"/>
        </w:rPr>
        <w:t>并且在定销房买卖合同中注明</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因套型所限，</w:t>
      </w:r>
      <w:r>
        <w:rPr>
          <w:rFonts w:hint="eastAsia" w:ascii="Times New Roman" w:hAnsi="Times New Roman" w:eastAsia="方正仿宋_GBK" w:cs="方正仿宋_GBK"/>
          <w:color w:val="auto"/>
          <w:sz w:val="32"/>
          <w:szCs w:val="32"/>
          <w:highlight w:val="none"/>
        </w:rPr>
        <w:t>被征收房屋合法面积</w:t>
      </w:r>
      <w:r>
        <w:rPr>
          <w:rFonts w:hint="eastAsia" w:ascii="Times New Roman" w:hAnsi="Times New Roman" w:eastAsia="方正仿宋_GBK" w:cs="方正仿宋_GBK"/>
          <w:color w:val="auto"/>
          <w:sz w:val="32"/>
          <w:szCs w:val="32"/>
          <w:highlight w:val="none"/>
          <w:lang w:eastAsia="zh-CN"/>
        </w:rPr>
        <w:t>可</w:t>
      </w:r>
      <w:r>
        <w:rPr>
          <w:rFonts w:hint="eastAsia" w:ascii="Times New Roman" w:hAnsi="Times New Roman" w:eastAsia="方正仿宋_GBK" w:cs="方正仿宋_GBK"/>
          <w:color w:val="auto"/>
          <w:sz w:val="32"/>
          <w:szCs w:val="32"/>
          <w:highlight w:val="none"/>
        </w:rPr>
        <w:t>增加20㎡以内享受安置价，</w:t>
      </w:r>
      <w:r>
        <w:rPr>
          <w:rFonts w:hint="eastAsia" w:ascii="Times New Roman" w:hAnsi="Times New Roman" w:eastAsia="方正仿宋_GBK" w:cs="方正仿宋_GBK"/>
          <w:color w:val="auto"/>
          <w:sz w:val="32"/>
          <w:szCs w:val="32"/>
          <w:highlight w:val="none"/>
          <w:lang w:val="en-US" w:eastAsia="zh-CN"/>
        </w:rPr>
        <w:t>其余</w:t>
      </w:r>
      <w:r>
        <w:rPr>
          <w:rFonts w:hint="eastAsia" w:ascii="Times New Roman" w:hAnsi="Times New Roman" w:eastAsia="方正仿宋_GBK" w:cs="方正仿宋_GBK"/>
          <w:color w:val="auto"/>
          <w:sz w:val="32"/>
          <w:szCs w:val="32"/>
          <w:highlight w:val="none"/>
        </w:rPr>
        <w:t>超出</w:t>
      </w:r>
      <w:r>
        <w:rPr>
          <w:rFonts w:hint="eastAsia" w:ascii="Times New Roman" w:hAnsi="Times New Roman" w:eastAsia="方正仿宋_GBK" w:cs="方正仿宋_GBK"/>
          <w:color w:val="auto"/>
          <w:sz w:val="32"/>
          <w:szCs w:val="32"/>
          <w:highlight w:val="none"/>
          <w:lang w:val="en-US" w:eastAsia="zh-CN"/>
        </w:rPr>
        <w:t>面积</w:t>
      </w:r>
      <w:r>
        <w:rPr>
          <w:rFonts w:hint="eastAsia" w:ascii="Times New Roman" w:hAnsi="Times New Roman" w:eastAsia="方正仿宋_GBK" w:cs="方正仿宋_GBK"/>
          <w:color w:val="auto"/>
          <w:sz w:val="32"/>
          <w:szCs w:val="32"/>
          <w:highlight w:val="none"/>
        </w:rPr>
        <w:t>部分按市场价购买。</w:t>
      </w:r>
    </w:p>
    <w:p w14:paraId="54814388">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color w:val="auto"/>
          <w:sz w:val="32"/>
          <w:szCs w:val="32"/>
          <w:highlight w:val="none"/>
        </w:rPr>
      </w:pPr>
      <w:r>
        <w:rPr>
          <w:rFonts w:hint="eastAsia" w:ascii="Times New Roman" w:hAnsi="Times New Roman" w:eastAsia="方正仿宋_GBK" w:cs="方正仿宋_GBK"/>
          <w:b/>
          <w:bCs/>
          <w:color w:val="auto"/>
          <w:sz w:val="32"/>
          <w:szCs w:val="32"/>
          <w:highlight w:val="none"/>
          <w:lang w:val="en-US" w:eastAsia="zh-CN"/>
        </w:rPr>
        <w:t>（3）</w:t>
      </w:r>
      <w:r>
        <w:rPr>
          <w:rFonts w:hint="eastAsia" w:ascii="Times New Roman" w:hAnsi="Times New Roman" w:eastAsia="方正仿宋_GBK" w:cs="方正仿宋_GBK"/>
          <w:b/>
          <w:bCs/>
          <w:color w:val="auto"/>
          <w:sz w:val="32"/>
          <w:szCs w:val="32"/>
          <w:highlight w:val="none"/>
        </w:rPr>
        <w:t>选房办法</w:t>
      </w:r>
    </w:p>
    <w:p w14:paraId="72024A9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1</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被</w:t>
      </w:r>
      <w:r>
        <w:rPr>
          <w:rFonts w:hint="eastAsia" w:ascii="Times New Roman" w:hAnsi="Times New Roman" w:eastAsia="方正仿宋_GBK" w:cs="方正仿宋_GBK"/>
          <w:color w:val="auto"/>
          <w:sz w:val="32"/>
          <w:szCs w:val="32"/>
          <w:highlight w:val="none"/>
          <w:lang w:eastAsia="zh-CN"/>
        </w:rPr>
        <w:t>征收</w:t>
      </w:r>
      <w:r>
        <w:rPr>
          <w:rFonts w:hint="eastAsia" w:ascii="Times New Roman" w:hAnsi="Times New Roman" w:eastAsia="方正仿宋_GBK" w:cs="方正仿宋_GBK"/>
          <w:color w:val="auto"/>
          <w:sz w:val="32"/>
          <w:szCs w:val="32"/>
          <w:highlight w:val="none"/>
        </w:rPr>
        <w:t>人凭房屋</w:t>
      </w:r>
      <w:r>
        <w:rPr>
          <w:rFonts w:hint="eastAsia" w:ascii="Times New Roman" w:hAnsi="Times New Roman" w:eastAsia="方正仿宋_GBK" w:cs="方正仿宋_GBK"/>
          <w:color w:val="auto"/>
          <w:sz w:val="32"/>
          <w:szCs w:val="32"/>
          <w:highlight w:val="none"/>
          <w:lang w:eastAsia="zh-CN"/>
        </w:rPr>
        <w:t>征收补偿</w:t>
      </w:r>
      <w:r>
        <w:rPr>
          <w:rFonts w:hint="eastAsia" w:ascii="Times New Roman" w:hAnsi="Times New Roman" w:eastAsia="方正仿宋_GBK" w:cs="方正仿宋_GBK"/>
          <w:color w:val="auto"/>
          <w:sz w:val="32"/>
          <w:szCs w:val="32"/>
          <w:highlight w:val="none"/>
        </w:rPr>
        <w:t>协议书和工作组开具的房屋验收合格单，</w:t>
      </w:r>
      <w:r>
        <w:rPr>
          <w:rFonts w:hint="eastAsia" w:ascii="Times New Roman" w:hAnsi="Times New Roman" w:eastAsia="方正仿宋_GBK" w:cs="方正仿宋_GBK"/>
          <w:color w:val="auto"/>
          <w:sz w:val="32"/>
          <w:szCs w:val="32"/>
          <w:highlight w:val="none"/>
          <w:lang w:eastAsia="zh-CN"/>
        </w:rPr>
        <w:t>于规定时间内，在指定的安置小区中划定的房源范围按积分顺序</w:t>
      </w:r>
      <w:r>
        <w:rPr>
          <w:rFonts w:hint="eastAsia" w:ascii="Times New Roman" w:hAnsi="Times New Roman" w:eastAsia="方正仿宋_GBK" w:cs="方正仿宋_GBK"/>
          <w:color w:val="auto"/>
          <w:sz w:val="32"/>
          <w:szCs w:val="32"/>
          <w:highlight w:val="none"/>
        </w:rPr>
        <w:t>选择小区和套型。</w:t>
      </w:r>
    </w:p>
    <w:p w14:paraId="59AD97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i w:val="0"/>
          <w:iCs w:val="0"/>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2</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选择房屋产权调换的安置房选择排序采用双积分制，</w:t>
      </w:r>
      <w:r>
        <w:rPr>
          <w:rFonts w:hint="eastAsia" w:ascii="Times New Roman" w:hAnsi="Times New Roman" w:eastAsia="方正仿宋_GBK" w:cs="方正仿宋_GBK"/>
          <w:color w:val="auto"/>
          <w:sz w:val="32"/>
          <w:szCs w:val="32"/>
          <w:highlight w:val="none"/>
          <w:lang w:eastAsia="zh-CN"/>
        </w:rPr>
        <w:t>积</w:t>
      </w:r>
      <w:r>
        <w:rPr>
          <w:rFonts w:hint="eastAsia" w:ascii="Times New Roman" w:hAnsi="Times New Roman" w:eastAsia="方正仿宋_GBK" w:cs="方正仿宋_GBK"/>
          <w:color w:val="auto"/>
          <w:sz w:val="32"/>
          <w:szCs w:val="32"/>
          <w:highlight w:val="none"/>
        </w:rPr>
        <w:t>分高者优先选择。双积分选房办法为：第一名签约户得100分，第二名签约户扣一分得99分，以此类推；第一名交钥匙户得100分，第二名交钥匙户扣一分得99分，以此类推。选安置房时按签约和交钥匙双积分，由高到低选房。总积分相同的，由现场抽签确定选房顺序。</w:t>
      </w:r>
      <w:r>
        <w:rPr>
          <w:rFonts w:hint="eastAsia" w:ascii="Times New Roman" w:hAnsi="Times New Roman" w:eastAsia="方正仿宋_GBK" w:cs="方正仿宋_GBK"/>
          <w:color w:val="auto"/>
          <w:sz w:val="32"/>
          <w:szCs w:val="32"/>
          <w:highlight w:val="none"/>
          <w:lang w:eastAsia="zh-CN"/>
        </w:rPr>
        <w:t>具体选房时间另行通告。</w:t>
      </w:r>
    </w:p>
    <w:p w14:paraId="46CBD31D">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楷体_GBK" w:cs="方正楷体_GBK"/>
          <w:b/>
          <w:bCs/>
          <w:color w:val="auto"/>
          <w:sz w:val="32"/>
          <w:szCs w:val="32"/>
          <w:highlight w:val="none"/>
          <w:lang w:eastAsia="zh-CN"/>
        </w:rPr>
      </w:pPr>
      <w:r>
        <w:rPr>
          <w:rFonts w:hint="eastAsia" w:ascii="Times New Roman" w:hAnsi="Times New Roman" w:eastAsia="方正楷体_GBK" w:cs="方正楷体_GBK"/>
          <w:b/>
          <w:bCs/>
          <w:color w:val="auto"/>
          <w:sz w:val="32"/>
          <w:szCs w:val="32"/>
          <w:highlight w:val="none"/>
          <w:lang w:eastAsia="zh-CN"/>
        </w:rPr>
        <w:t>（</w:t>
      </w:r>
      <w:r>
        <w:rPr>
          <w:rFonts w:hint="eastAsia" w:ascii="Times New Roman" w:hAnsi="Times New Roman" w:eastAsia="方正楷体_GBK" w:cs="方正楷体_GBK"/>
          <w:b/>
          <w:bCs/>
          <w:color w:val="auto"/>
          <w:sz w:val="32"/>
          <w:szCs w:val="32"/>
          <w:highlight w:val="none"/>
          <w:lang w:val="en-US" w:eastAsia="zh-CN"/>
        </w:rPr>
        <w:t>二</w:t>
      </w:r>
      <w:r>
        <w:rPr>
          <w:rFonts w:hint="eastAsia" w:ascii="Times New Roman" w:hAnsi="Times New Roman" w:eastAsia="方正楷体_GBK" w:cs="方正楷体_GBK"/>
          <w:b/>
          <w:bCs/>
          <w:color w:val="auto"/>
          <w:sz w:val="32"/>
          <w:szCs w:val="32"/>
          <w:highlight w:val="none"/>
          <w:lang w:eastAsia="zh-CN"/>
        </w:rPr>
        <w:t>）征收补偿标准</w:t>
      </w:r>
    </w:p>
    <w:p w14:paraId="2D04F01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kern w:val="2"/>
          <w:sz w:val="32"/>
          <w:szCs w:val="32"/>
          <w:highlight w:val="none"/>
          <w:lang w:val="en-US" w:eastAsia="zh-CN" w:bidi="ar-SA"/>
        </w:rPr>
      </w:pPr>
      <w:r>
        <w:rPr>
          <w:rFonts w:hint="eastAsia" w:ascii="Times New Roman" w:hAnsi="Times New Roman" w:eastAsia="方正仿宋_GBK" w:cs="方正仿宋_GBK"/>
          <w:color w:val="auto"/>
          <w:kern w:val="2"/>
          <w:sz w:val="32"/>
          <w:szCs w:val="32"/>
          <w:highlight w:val="none"/>
          <w:lang w:val="en-US" w:eastAsia="zh-CN" w:bidi="ar-SA"/>
        </w:rPr>
        <w:t>房屋征收部门依法对被征收人实行补偿安置,具体包括：</w:t>
      </w:r>
    </w:p>
    <w:p w14:paraId="1050FDF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color w:val="auto"/>
          <w:sz w:val="32"/>
          <w:szCs w:val="32"/>
          <w:highlight w:val="none"/>
          <w:lang w:eastAsia="zh-CN"/>
        </w:rPr>
      </w:pPr>
      <w:r>
        <w:rPr>
          <w:rFonts w:hint="eastAsia" w:ascii="Times New Roman" w:hAnsi="Times New Roman" w:eastAsia="方正仿宋_GBK" w:cs="方正仿宋_GBK"/>
          <w:b/>
          <w:bCs/>
          <w:color w:val="auto"/>
          <w:sz w:val="32"/>
          <w:szCs w:val="32"/>
          <w:highlight w:val="none"/>
        </w:rPr>
        <w:t>1、被征收房屋价值补偿费</w:t>
      </w:r>
    </w:p>
    <w:p w14:paraId="3BA68A9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（1）住宅房屋的补偿</w:t>
      </w:r>
    </w:p>
    <w:p w14:paraId="6F7C2C0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由依法确定的房地产价格评估机构按照国家、省、市有关规定评估确定（含地大于房的土地面积，土地面积以取得土地使用证等合法有效证件为依据）。</w:t>
      </w:r>
    </w:p>
    <w:p w14:paraId="409AC2B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（2）住宅用房改为商业用房的补偿</w:t>
      </w:r>
    </w:p>
    <w:p w14:paraId="6894E83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2010年7月1日前已将</w:t>
      </w:r>
      <w:r>
        <w:rPr>
          <w:rFonts w:hint="eastAsia" w:ascii="Times New Roman" w:hAnsi="Times New Roman" w:eastAsia="方正仿宋_GBK" w:cs="方正仿宋_GBK"/>
          <w:color w:val="auto"/>
          <w:sz w:val="32"/>
          <w:szCs w:val="32"/>
          <w:highlight w:val="none"/>
          <w:lang w:eastAsia="zh-CN"/>
        </w:rPr>
        <w:t>沿主干道</w:t>
      </w:r>
      <w:r>
        <w:rPr>
          <w:rFonts w:hint="eastAsia" w:ascii="Times New Roman" w:hAnsi="Times New Roman" w:eastAsia="方正仿宋_GBK" w:cs="方正仿宋_GBK"/>
          <w:color w:val="auto"/>
          <w:sz w:val="32"/>
          <w:szCs w:val="32"/>
          <w:highlight w:val="none"/>
        </w:rPr>
        <w:t>住宅用房改为经营性用房，取得工商营业执照，持续营业一年以上，其直接用于经营的建筑面积。按以下两种办法之一计算，取高值给予补偿：</w:t>
      </w:r>
    </w:p>
    <w:p w14:paraId="2422D8C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①按照该房屋作为营业用房市场评估金额的一定比例进行补偿：满一年的，给予10%的补偿，以后每多一年再增加五个百分点的补偿，满15年及以上的，给予80%的补偿；</w:t>
      </w:r>
    </w:p>
    <w:p w14:paraId="5794E26C">
      <w:pPr>
        <w:pStyle w:val="2"/>
        <w:keepNext w:val="0"/>
        <w:keepLines w:val="0"/>
        <w:pageBreakBefore w:val="0"/>
        <w:widowControl w:val="0"/>
        <w:kinsoku/>
        <w:wordWrap/>
        <w:overflowPunct/>
        <w:topLinePunct w:val="0"/>
        <w:autoSpaceDE/>
        <w:autoSpaceDN/>
        <w:bidi w:val="0"/>
        <w:adjustRightInd/>
        <w:snapToGrid/>
        <w:spacing w:line="560" w:lineRule="exact"/>
        <w:ind w:firstLine="960" w:firstLineChars="3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②按住宅用房补偿金额的110%计算。</w:t>
      </w:r>
    </w:p>
    <w:p w14:paraId="517AF5A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（3）非住宅用房的补偿</w:t>
      </w:r>
    </w:p>
    <w:p w14:paraId="055A07B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①营业用房</w:t>
      </w:r>
    </w:p>
    <w:p w14:paraId="3DEE9E84">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eastAsia="zh-CN"/>
        </w:rPr>
        <w:t>一是</w:t>
      </w:r>
      <w:r>
        <w:rPr>
          <w:rFonts w:hint="eastAsia" w:ascii="Times New Roman" w:hAnsi="Times New Roman" w:eastAsia="方正仿宋_GBK" w:cs="方正仿宋_GBK"/>
          <w:color w:val="auto"/>
          <w:sz w:val="32"/>
          <w:szCs w:val="32"/>
          <w:highlight w:val="none"/>
        </w:rPr>
        <w:t>出让方式的营业用房</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rPr>
        <w:t>对独立门市依据市场门面的开间与进深比进行相应的修正；对大型的超市、大卖场等大面积的房地产依据租金并结合市场的实际情况进行评估。</w:t>
      </w:r>
    </w:p>
    <w:p w14:paraId="1C3710AF">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lang w:eastAsia="zh-CN"/>
        </w:rPr>
        <w:t>二是</w:t>
      </w:r>
      <w:r>
        <w:rPr>
          <w:rFonts w:hint="eastAsia" w:ascii="Times New Roman" w:hAnsi="Times New Roman" w:eastAsia="方正仿宋_GBK" w:cs="方正仿宋_GBK"/>
          <w:color w:val="auto"/>
          <w:sz w:val="32"/>
          <w:szCs w:val="32"/>
          <w:highlight w:val="none"/>
        </w:rPr>
        <w:t>划拨方式的营业用</w:t>
      </w:r>
      <w:r>
        <w:rPr>
          <w:rFonts w:hint="eastAsia" w:ascii="Times New Roman" w:hAnsi="Times New Roman" w:eastAsia="方正仿宋_GBK" w:cs="方正仿宋_GBK"/>
          <w:color w:val="auto"/>
          <w:sz w:val="32"/>
          <w:szCs w:val="32"/>
          <w:highlight w:val="none"/>
          <w:lang w:eastAsia="zh-CN"/>
        </w:rPr>
        <w:t>房：</w:t>
      </w:r>
      <w:r>
        <w:rPr>
          <w:rFonts w:hint="eastAsia" w:ascii="Times New Roman" w:hAnsi="Times New Roman" w:eastAsia="方正仿宋_GBK" w:cs="方正仿宋_GBK"/>
          <w:color w:val="auto"/>
          <w:sz w:val="32"/>
          <w:szCs w:val="32"/>
          <w:highlight w:val="none"/>
        </w:rPr>
        <w:t>按出让方式评估，修正费用参照国土部门出让金收取规定和政府公布的土地基准价（容积率设定为基准地价对应的容积率），修正系数不大于0.85。</w:t>
      </w:r>
    </w:p>
    <w:p w14:paraId="29D0C3A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②办公用房</w:t>
      </w:r>
    </w:p>
    <w:p w14:paraId="78B1FC1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出让方式的办公用房：应按实进行市场价评估；</w:t>
      </w:r>
    </w:p>
    <w:p w14:paraId="6E32311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划拨方式的办公用房：按出让方式评估，土地出让金扣除办法参照营业用房，涉及土地用途与房屋用途不一致的特殊情况，需扣除政府收益的数额由相关部门会办确定。</w:t>
      </w:r>
    </w:p>
    <w:p w14:paraId="304A4ED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③工业用房</w:t>
      </w:r>
    </w:p>
    <w:p w14:paraId="3C46AB13">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rPr>
        <w:t>一是</w:t>
      </w:r>
      <w:r>
        <w:rPr>
          <w:rFonts w:hint="eastAsia" w:ascii="Times New Roman" w:hAnsi="Times New Roman" w:eastAsia="方正仿宋_GBK" w:cs="方正仿宋_GBK"/>
          <w:color w:val="auto"/>
          <w:sz w:val="32"/>
          <w:szCs w:val="32"/>
          <w:highlight w:val="none"/>
        </w:rPr>
        <w:t>对采用基准地价修正法进行工业用地评估时应考虑基准地价期日的修正因素；</w:t>
      </w:r>
    </w:p>
    <w:p w14:paraId="5798A8F1">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rPr>
        <w:t>二是</w:t>
      </w:r>
      <w:r>
        <w:rPr>
          <w:rFonts w:hint="eastAsia" w:ascii="Times New Roman" w:hAnsi="Times New Roman" w:eastAsia="方正仿宋_GBK" w:cs="方正仿宋_GBK"/>
          <w:color w:val="auto"/>
          <w:sz w:val="32"/>
          <w:szCs w:val="32"/>
          <w:highlight w:val="none"/>
        </w:rPr>
        <w:t>可采用房、地分开的评估方式，对房屋重置价的评估所考虑的利润和税费建议标准费率8%—12%。</w:t>
      </w:r>
    </w:p>
    <w:p w14:paraId="3045E2C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④地大于房的土地价值补偿</w:t>
      </w:r>
    </w:p>
    <w:p w14:paraId="20E3E0F0">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rPr>
        <w:t>一是</w:t>
      </w:r>
      <w:r>
        <w:rPr>
          <w:rFonts w:hint="eastAsia" w:ascii="Times New Roman" w:hAnsi="Times New Roman" w:eastAsia="方正仿宋_GBK" w:cs="方正仿宋_GBK"/>
          <w:color w:val="auto"/>
          <w:sz w:val="32"/>
          <w:szCs w:val="32"/>
          <w:highlight w:val="none"/>
        </w:rPr>
        <w:t>出让土地使用权的补偿：根据土地出让合同、规划设计要点等按规范要求评估其市场价格；</w:t>
      </w:r>
    </w:p>
    <w:p w14:paraId="55D894A2">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rPr>
        <w:t>二是</w:t>
      </w:r>
      <w:r>
        <w:rPr>
          <w:rFonts w:hint="eastAsia" w:ascii="Times New Roman" w:hAnsi="Times New Roman" w:eastAsia="方正仿宋_GBK" w:cs="方正仿宋_GBK"/>
          <w:color w:val="auto"/>
          <w:sz w:val="32"/>
          <w:szCs w:val="32"/>
          <w:highlight w:val="none"/>
        </w:rPr>
        <w:t>划拨土地使用权补偿：按估价日建设用地土地征用成本计算（未有新增建设用地的，按基准地价的60%计算）；</w:t>
      </w:r>
    </w:p>
    <w:p w14:paraId="4CEE0C2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b/>
          <w:bCs/>
          <w:color w:val="auto"/>
          <w:sz w:val="32"/>
          <w:szCs w:val="32"/>
          <w:highlight w:val="none"/>
        </w:rPr>
        <w:t>三是</w:t>
      </w:r>
      <w:r>
        <w:rPr>
          <w:rFonts w:hint="eastAsia" w:ascii="Times New Roman" w:hAnsi="Times New Roman" w:eastAsia="方正仿宋_GBK" w:cs="方正仿宋_GBK"/>
          <w:color w:val="auto"/>
          <w:sz w:val="32"/>
          <w:szCs w:val="32"/>
          <w:highlight w:val="none"/>
        </w:rPr>
        <w:t>土地行政主管部门有具体规定的，参照其规定执行。</w:t>
      </w:r>
    </w:p>
    <w:p w14:paraId="5574C684">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color w:val="auto"/>
          <w:sz w:val="32"/>
          <w:szCs w:val="32"/>
          <w:highlight w:val="none"/>
        </w:rPr>
      </w:pPr>
      <w:r>
        <w:rPr>
          <w:rFonts w:hint="eastAsia" w:ascii="Times New Roman" w:hAnsi="Times New Roman" w:eastAsia="方正仿宋_GBK" w:cs="方正仿宋_GBK"/>
          <w:b/>
          <w:bCs/>
          <w:color w:val="auto"/>
          <w:sz w:val="32"/>
          <w:szCs w:val="32"/>
          <w:highlight w:val="none"/>
        </w:rPr>
        <w:t>2、装饰装潢及附属设施补偿费</w:t>
      </w:r>
    </w:p>
    <w:p w14:paraId="6655CC9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z w:val="32"/>
          <w:szCs w:val="32"/>
          <w:highlight w:val="none"/>
        </w:rPr>
      </w:pPr>
      <w:r>
        <w:rPr>
          <w:rFonts w:hint="eastAsia" w:ascii="Times New Roman" w:hAnsi="Times New Roman" w:eastAsia="方正仿宋_GBK" w:cs="方正仿宋_GBK"/>
          <w:color w:val="auto"/>
          <w:sz w:val="32"/>
          <w:szCs w:val="32"/>
          <w:highlight w:val="none"/>
        </w:rPr>
        <w:t>由依法确定的房地产价格评估机构依照规定评估确定。对</w:t>
      </w:r>
      <w:r>
        <w:rPr>
          <w:rFonts w:hint="eastAsia" w:ascii="Times New Roman" w:hAnsi="Times New Roman" w:eastAsia="方正仿宋_GBK" w:cs="方正仿宋_GBK"/>
          <w:color w:val="auto"/>
          <w:sz w:val="32"/>
          <w:szCs w:val="32"/>
          <w:highlight w:val="none"/>
          <w:lang w:eastAsia="zh-CN"/>
        </w:rPr>
        <w:t>能按期签约、搬家、交房的</w:t>
      </w:r>
      <w:r>
        <w:rPr>
          <w:rFonts w:hint="eastAsia" w:ascii="Times New Roman" w:hAnsi="Times New Roman" w:eastAsia="方正仿宋_GBK" w:cs="方正仿宋_GBK"/>
          <w:color w:val="auto"/>
          <w:sz w:val="32"/>
          <w:szCs w:val="32"/>
          <w:highlight w:val="none"/>
        </w:rPr>
        <w:t>住宅房屋装饰装潢补偿</w:t>
      </w:r>
      <w:r>
        <w:rPr>
          <w:rFonts w:hint="eastAsia" w:ascii="Times New Roman" w:hAnsi="Times New Roman" w:eastAsia="方正仿宋_GBK" w:cs="方正仿宋_GBK"/>
          <w:color w:val="auto"/>
          <w:sz w:val="32"/>
          <w:szCs w:val="32"/>
          <w:highlight w:val="none"/>
          <w:lang w:eastAsia="zh-CN"/>
        </w:rPr>
        <w:t>及附属设施</w:t>
      </w:r>
      <w:r>
        <w:rPr>
          <w:rFonts w:hint="eastAsia" w:ascii="Times New Roman" w:hAnsi="Times New Roman" w:eastAsia="方正仿宋_GBK" w:cs="方正仿宋_GBK"/>
          <w:color w:val="auto"/>
          <w:sz w:val="32"/>
          <w:szCs w:val="32"/>
          <w:highlight w:val="none"/>
        </w:rPr>
        <w:t>未超过400元/㎡的按400元/㎡补偿。</w:t>
      </w:r>
      <w:r>
        <w:rPr>
          <w:rFonts w:hint="eastAsia" w:ascii="Times New Roman" w:hAnsi="Times New Roman" w:eastAsia="方正仿宋_GBK" w:cs="方正仿宋_GBK"/>
          <w:b w:val="0"/>
          <w:bCs w:val="0"/>
          <w:color w:val="auto"/>
          <w:sz w:val="32"/>
          <w:szCs w:val="32"/>
          <w:highlight w:val="none"/>
          <w:lang w:val="en-US" w:eastAsia="zh-CN"/>
        </w:rPr>
        <w:t>非住宅用途的房屋按实评估补偿。</w:t>
      </w:r>
    </w:p>
    <w:p w14:paraId="68549CF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i w:val="0"/>
          <w:iCs w:val="0"/>
          <w:color w:val="auto"/>
          <w:sz w:val="32"/>
          <w:szCs w:val="32"/>
          <w:highlight w:val="none"/>
          <w:lang w:val="en-US" w:eastAsia="zh-CN"/>
        </w:rPr>
      </w:pPr>
      <w:r>
        <w:rPr>
          <w:rFonts w:hint="eastAsia" w:ascii="Times New Roman" w:hAnsi="Times New Roman" w:eastAsia="方正仿宋_GBK" w:cs="方正仿宋_GBK"/>
          <w:i w:val="0"/>
          <w:iCs w:val="0"/>
          <w:color w:val="auto"/>
          <w:sz w:val="32"/>
          <w:szCs w:val="32"/>
          <w:highlight w:val="none"/>
          <w:lang w:val="en-US" w:eastAsia="zh-CN"/>
        </w:rPr>
        <w:t>在房屋征收范围确定后突击装饰装潢的部分一律不予补偿。</w:t>
      </w:r>
    </w:p>
    <w:p w14:paraId="2CB3D12E">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color w:val="auto"/>
          <w:sz w:val="32"/>
          <w:szCs w:val="32"/>
          <w:highlight w:val="none"/>
        </w:rPr>
      </w:pPr>
      <w:r>
        <w:rPr>
          <w:rFonts w:hint="eastAsia" w:ascii="Times New Roman" w:hAnsi="Times New Roman" w:eastAsia="方正仿宋_GBK" w:cs="方正仿宋_GBK"/>
          <w:b/>
          <w:bCs/>
          <w:color w:val="auto"/>
          <w:sz w:val="32"/>
          <w:szCs w:val="32"/>
          <w:highlight w:val="none"/>
        </w:rPr>
        <w:t>3、搬迁补偿费</w:t>
      </w:r>
    </w:p>
    <w:p w14:paraId="2F719F0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因征收房屋造成搬迁的,应当向被征收人支付搬迁补偿费。搬迁补偿费根据被征收房屋补偿面积计算,补偿标准为10元/㎡，每户不低于500元，住宅房屋搬迁补偿费按两次计算。非住宅房屋搬迁补偿费按一次性计算，特殊生产设备拆装另行评估。</w:t>
      </w:r>
    </w:p>
    <w:p w14:paraId="6711FFE8">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color w:val="auto"/>
          <w:sz w:val="32"/>
          <w:szCs w:val="32"/>
          <w:highlight w:val="none"/>
        </w:rPr>
      </w:pPr>
      <w:r>
        <w:rPr>
          <w:rFonts w:hint="eastAsia" w:ascii="Times New Roman" w:hAnsi="Times New Roman" w:eastAsia="方正仿宋_GBK" w:cs="方正仿宋_GBK"/>
          <w:b/>
          <w:bCs/>
          <w:color w:val="auto"/>
          <w:sz w:val="32"/>
          <w:szCs w:val="32"/>
          <w:highlight w:val="none"/>
        </w:rPr>
        <w:t>4、临时安置补偿费</w:t>
      </w:r>
    </w:p>
    <w:p w14:paraId="3598419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因征收住宅房屋造成临时安置的,应当向被征收人支付临时安置补偿费。临时安置补偿费根据被征收房屋合法面积按月计算,补偿标准为每月10元/㎡，每户每月不低于500元。选择货币补偿的过渡期为6个月，选择产权调换的过渡期按从搬迁之日起至住房交付之日的下3个月计算。</w:t>
      </w:r>
      <w:r>
        <w:rPr>
          <w:rFonts w:hint="eastAsia" w:ascii="Times New Roman" w:hAnsi="Times New Roman" w:eastAsia="方正仿宋_GBK" w:cs="方正仿宋_GBK"/>
          <w:color w:val="auto"/>
          <w:sz w:val="32"/>
          <w:szCs w:val="32"/>
          <w:highlight w:val="none"/>
          <w:lang w:eastAsia="zh-CN"/>
        </w:rPr>
        <w:t>选择期房的过渡期暂定</w:t>
      </w:r>
      <w:r>
        <w:rPr>
          <w:rFonts w:hint="eastAsia" w:ascii="Times New Roman" w:hAnsi="Times New Roman" w:eastAsia="方正仿宋_GBK" w:cs="方正仿宋_GBK"/>
          <w:color w:val="auto"/>
          <w:sz w:val="32"/>
          <w:szCs w:val="32"/>
          <w:highlight w:val="none"/>
          <w:lang w:val="en-US" w:eastAsia="zh-CN"/>
        </w:rPr>
        <w:t>18个月</w:t>
      </w:r>
      <w:r>
        <w:rPr>
          <w:rFonts w:hint="eastAsia" w:ascii="Times New Roman" w:hAnsi="Times New Roman" w:eastAsia="方正仿宋_GBK" w:cs="方正仿宋_GBK"/>
          <w:color w:val="auto"/>
          <w:sz w:val="32"/>
          <w:szCs w:val="32"/>
          <w:highlight w:val="none"/>
        </w:rPr>
        <w:t>。</w:t>
      </w:r>
    </w:p>
    <w:p w14:paraId="71DE6CDA">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color w:val="auto"/>
          <w:sz w:val="32"/>
          <w:szCs w:val="32"/>
          <w:highlight w:val="none"/>
        </w:rPr>
      </w:pPr>
      <w:r>
        <w:rPr>
          <w:rFonts w:hint="eastAsia" w:ascii="Times New Roman" w:hAnsi="Times New Roman" w:eastAsia="方正仿宋_GBK" w:cs="方正仿宋_GBK"/>
          <w:b/>
          <w:bCs/>
          <w:color w:val="auto"/>
          <w:sz w:val="32"/>
          <w:szCs w:val="32"/>
          <w:highlight w:val="none"/>
        </w:rPr>
        <w:t>5、停产停业损失补偿费</w:t>
      </w:r>
    </w:p>
    <w:p w14:paraId="3D3905CD">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i w:val="0"/>
          <w:iCs w:val="0"/>
          <w:color w:val="auto"/>
          <w:sz w:val="32"/>
          <w:szCs w:val="32"/>
          <w:highlight w:val="none"/>
        </w:rPr>
      </w:pPr>
      <w:r>
        <w:rPr>
          <w:rFonts w:hint="eastAsia" w:ascii="Times New Roman" w:hAnsi="Times New Roman" w:eastAsia="方正仿宋_GBK" w:cs="方正仿宋_GBK"/>
          <w:b/>
          <w:i w:val="0"/>
          <w:iCs w:val="0"/>
          <w:color w:val="auto"/>
          <w:sz w:val="32"/>
          <w:szCs w:val="32"/>
          <w:highlight w:val="none"/>
          <w:lang w:eastAsia="zh-CN"/>
        </w:rPr>
        <w:t>（</w:t>
      </w:r>
      <w:r>
        <w:rPr>
          <w:rFonts w:hint="eastAsia" w:ascii="Times New Roman" w:hAnsi="Times New Roman" w:eastAsia="方正仿宋_GBK" w:cs="方正仿宋_GBK"/>
          <w:b/>
          <w:i w:val="0"/>
          <w:iCs w:val="0"/>
          <w:color w:val="auto"/>
          <w:sz w:val="32"/>
          <w:szCs w:val="32"/>
          <w:highlight w:val="none"/>
          <w:lang w:val="en-US" w:eastAsia="zh-CN"/>
        </w:rPr>
        <w:t>1</w:t>
      </w:r>
      <w:r>
        <w:rPr>
          <w:rFonts w:hint="eastAsia" w:ascii="Times New Roman" w:hAnsi="Times New Roman" w:eastAsia="方正仿宋_GBK" w:cs="方正仿宋_GBK"/>
          <w:b/>
          <w:i w:val="0"/>
          <w:iCs w:val="0"/>
          <w:color w:val="auto"/>
          <w:sz w:val="32"/>
          <w:szCs w:val="32"/>
          <w:highlight w:val="none"/>
          <w:lang w:eastAsia="zh-CN"/>
        </w:rPr>
        <w:t>）</w:t>
      </w:r>
      <w:r>
        <w:rPr>
          <w:rFonts w:hint="eastAsia" w:ascii="Times New Roman" w:hAnsi="Times New Roman" w:eastAsia="方正仿宋_GBK" w:cs="方正仿宋_GBK"/>
          <w:b/>
          <w:i w:val="0"/>
          <w:iCs w:val="0"/>
          <w:color w:val="auto"/>
          <w:sz w:val="32"/>
          <w:szCs w:val="32"/>
          <w:highlight w:val="none"/>
        </w:rPr>
        <w:t>给予停产停业损失补偿的被</w:t>
      </w:r>
      <w:r>
        <w:rPr>
          <w:rFonts w:hint="eastAsia" w:ascii="Times New Roman" w:hAnsi="Times New Roman" w:eastAsia="方正仿宋_GBK" w:cs="方正仿宋_GBK"/>
          <w:b/>
          <w:i w:val="0"/>
          <w:iCs w:val="0"/>
          <w:color w:val="auto"/>
          <w:sz w:val="32"/>
          <w:szCs w:val="32"/>
          <w:highlight w:val="none"/>
          <w:lang w:val="en-US" w:eastAsia="zh-CN"/>
        </w:rPr>
        <w:t>征收</w:t>
      </w:r>
      <w:r>
        <w:rPr>
          <w:rFonts w:hint="eastAsia" w:ascii="Times New Roman" w:hAnsi="Times New Roman" w:eastAsia="方正仿宋_GBK" w:cs="方正仿宋_GBK"/>
          <w:b/>
          <w:i w:val="0"/>
          <w:iCs w:val="0"/>
          <w:color w:val="auto"/>
          <w:sz w:val="32"/>
          <w:szCs w:val="32"/>
          <w:highlight w:val="none"/>
        </w:rPr>
        <w:t>房屋应当同时符合下列条件：</w:t>
      </w:r>
    </w:p>
    <w:p w14:paraId="3BA35B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i w:val="0"/>
          <w:iCs w:val="0"/>
          <w:color w:val="auto"/>
          <w:sz w:val="32"/>
          <w:szCs w:val="32"/>
          <w:highlight w:val="none"/>
        </w:rPr>
      </w:pPr>
      <w:r>
        <w:rPr>
          <w:rFonts w:hint="eastAsia" w:ascii="Times New Roman" w:hAnsi="Times New Roman" w:eastAsia="方正仿宋_GBK" w:cs="方正仿宋_GBK"/>
          <w:i w:val="0"/>
          <w:iCs w:val="0"/>
          <w:color w:val="auto"/>
          <w:sz w:val="32"/>
          <w:szCs w:val="32"/>
          <w:highlight w:val="none"/>
        </w:rPr>
        <w:t>①具有土地、房屋权属证明，或者被认定为合法建筑；</w:t>
      </w:r>
    </w:p>
    <w:p w14:paraId="07F0E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i w:val="0"/>
          <w:iCs w:val="0"/>
          <w:color w:val="auto"/>
          <w:sz w:val="32"/>
          <w:szCs w:val="32"/>
          <w:highlight w:val="none"/>
        </w:rPr>
      </w:pPr>
      <w:r>
        <w:rPr>
          <w:rFonts w:hint="eastAsia" w:ascii="Times New Roman" w:hAnsi="Times New Roman" w:eastAsia="方正仿宋_GBK" w:cs="方正仿宋_GBK"/>
          <w:i w:val="0"/>
          <w:iCs w:val="0"/>
          <w:color w:val="auto"/>
          <w:sz w:val="32"/>
          <w:szCs w:val="32"/>
          <w:highlight w:val="none"/>
        </w:rPr>
        <w:t>②被</w:t>
      </w:r>
      <w:r>
        <w:rPr>
          <w:rFonts w:hint="eastAsia" w:ascii="Times New Roman" w:hAnsi="Times New Roman" w:eastAsia="方正仿宋_GBK" w:cs="方正仿宋_GBK"/>
          <w:i w:val="0"/>
          <w:iCs w:val="0"/>
          <w:color w:val="auto"/>
          <w:sz w:val="32"/>
          <w:szCs w:val="32"/>
          <w:highlight w:val="none"/>
          <w:lang w:val="en-US" w:eastAsia="zh-CN"/>
        </w:rPr>
        <w:t>征收</w:t>
      </w:r>
      <w:r>
        <w:rPr>
          <w:rFonts w:hint="eastAsia" w:ascii="Times New Roman" w:hAnsi="Times New Roman" w:eastAsia="方正仿宋_GBK" w:cs="方正仿宋_GBK"/>
          <w:i w:val="0"/>
          <w:iCs w:val="0"/>
          <w:color w:val="auto"/>
          <w:sz w:val="32"/>
          <w:szCs w:val="32"/>
          <w:highlight w:val="none"/>
        </w:rPr>
        <w:t>房屋作为生产经营场所的，经营者应当持有合法、有效的工商营业执照，税务登记证以及其他有关许可证件；</w:t>
      </w:r>
    </w:p>
    <w:p w14:paraId="49B9B3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i w:val="0"/>
          <w:iCs w:val="0"/>
          <w:color w:val="auto"/>
          <w:sz w:val="32"/>
          <w:szCs w:val="32"/>
          <w:highlight w:val="none"/>
        </w:rPr>
      </w:pPr>
      <w:r>
        <w:rPr>
          <w:rFonts w:hint="eastAsia" w:ascii="Times New Roman" w:hAnsi="Times New Roman" w:eastAsia="方正仿宋_GBK" w:cs="方正仿宋_GBK"/>
          <w:i w:val="0"/>
          <w:iCs w:val="0"/>
          <w:color w:val="auto"/>
          <w:sz w:val="32"/>
          <w:szCs w:val="32"/>
          <w:highlight w:val="none"/>
        </w:rPr>
        <w:t>③因房屋</w:t>
      </w:r>
      <w:r>
        <w:rPr>
          <w:rFonts w:hint="eastAsia" w:ascii="Times New Roman" w:hAnsi="Times New Roman" w:eastAsia="方正仿宋_GBK" w:cs="方正仿宋_GBK"/>
          <w:i w:val="0"/>
          <w:iCs w:val="0"/>
          <w:color w:val="auto"/>
          <w:sz w:val="32"/>
          <w:szCs w:val="32"/>
          <w:highlight w:val="none"/>
          <w:lang w:val="en-US" w:eastAsia="zh-CN"/>
        </w:rPr>
        <w:t>征收</w:t>
      </w:r>
      <w:r>
        <w:rPr>
          <w:rFonts w:hint="eastAsia" w:ascii="Times New Roman" w:hAnsi="Times New Roman" w:eastAsia="方正仿宋_GBK" w:cs="方正仿宋_GBK"/>
          <w:i w:val="0"/>
          <w:iCs w:val="0"/>
          <w:color w:val="auto"/>
          <w:sz w:val="32"/>
          <w:szCs w:val="32"/>
          <w:highlight w:val="none"/>
        </w:rPr>
        <w:t>造成停产停业损失的。</w:t>
      </w:r>
    </w:p>
    <w:p w14:paraId="1658ED6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i w:val="0"/>
          <w:iCs w:val="0"/>
          <w:color w:val="auto"/>
          <w:sz w:val="32"/>
          <w:szCs w:val="32"/>
          <w:highlight w:val="none"/>
        </w:rPr>
      </w:pPr>
      <w:r>
        <w:rPr>
          <w:rFonts w:hint="eastAsia" w:ascii="Times New Roman" w:hAnsi="Times New Roman" w:eastAsia="方正仿宋_GBK" w:cs="方正仿宋_GBK"/>
          <w:b/>
          <w:i w:val="0"/>
          <w:iCs w:val="0"/>
          <w:color w:val="auto"/>
          <w:sz w:val="32"/>
          <w:szCs w:val="32"/>
          <w:highlight w:val="none"/>
          <w:lang w:eastAsia="zh-CN"/>
        </w:rPr>
        <w:t>（</w:t>
      </w:r>
      <w:r>
        <w:rPr>
          <w:rFonts w:hint="eastAsia" w:ascii="Times New Roman" w:hAnsi="Times New Roman" w:eastAsia="方正仿宋_GBK" w:cs="方正仿宋_GBK"/>
          <w:b/>
          <w:i w:val="0"/>
          <w:iCs w:val="0"/>
          <w:color w:val="auto"/>
          <w:sz w:val="32"/>
          <w:szCs w:val="32"/>
          <w:highlight w:val="none"/>
          <w:lang w:val="en-US" w:eastAsia="zh-CN"/>
        </w:rPr>
        <w:t>2</w:t>
      </w:r>
      <w:r>
        <w:rPr>
          <w:rFonts w:hint="eastAsia" w:ascii="Times New Roman" w:hAnsi="Times New Roman" w:eastAsia="方正仿宋_GBK" w:cs="方正仿宋_GBK"/>
          <w:b/>
          <w:i w:val="0"/>
          <w:iCs w:val="0"/>
          <w:color w:val="auto"/>
          <w:sz w:val="32"/>
          <w:szCs w:val="32"/>
          <w:highlight w:val="none"/>
          <w:lang w:eastAsia="zh-CN"/>
        </w:rPr>
        <w:t>）</w:t>
      </w:r>
      <w:r>
        <w:rPr>
          <w:rFonts w:hint="eastAsia" w:ascii="Times New Roman" w:hAnsi="Times New Roman" w:eastAsia="方正仿宋_GBK" w:cs="方正仿宋_GBK"/>
          <w:b/>
          <w:i w:val="0"/>
          <w:iCs w:val="0"/>
          <w:color w:val="auto"/>
          <w:sz w:val="32"/>
          <w:szCs w:val="32"/>
          <w:highlight w:val="none"/>
        </w:rPr>
        <w:t>非住宅停产停业损失补偿：</w:t>
      </w:r>
      <w:r>
        <w:rPr>
          <w:rFonts w:hint="eastAsia" w:ascii="Times New Roman" w:hAnsi="Times New Roman" w:eastAsia="方正仿宋_GBK" w:cs="方正仿宋_GBK"/>
          <w:i w:val="0"/>
          <w:iCs w:val="0"/>
          <w:color w:val="auto"/>
          <w:sz w:val="32"/>
          <w:szCs w:val="32"/>
          <w:highlight w:val="none"/>
        </w:rPr>
        <w:t>指因</w:t>
      </w:r>
      <w:r>
        <w:rPr>
          <w:rFonts w:hint="eastAsia" w:ascii="Times New Roman" w:hAnsi="Times New Roman" w:eastAsia="方正仿宋_GBK" w:cs="方正仿宋_GBK"/>
          <w:i w:val="0"/>
          <w:iCs w:val="0"/>
          <w:color w:val="auto"/>
          <w:sz w:val="32"/>
          <w:szCs w:val="32"/>
          <w:highlight w:val="none"/>
          <w:lang w:val="en-US" w:eastAsia="zh-CN"/>
        </w:rPr>
        <w:t>征收</w:t>
      </w:r>
      <w:r>
        <w:rPr>
          <w:rFonts w:hint="eastAsia" w:ascii="Times New Roman" w:hAnsi="Times New Roman" w:eastAsia="方正仿宋_GBK" w:cs="方正仿宋_GBK"/>
          <w:i w:val="0"/>
          <w:iCs w:val="0"/>
          <w:color w:val="auto"/>
          <w:sz w:val="32"/>
          <w:szCs w:val="32"/>
          <w:highlight w:val="none"/>
        </w:rPr>
        <w:t>非住宅房屋造成停产停业的直接效益损失。根据房屋被</w:t>
      </w:r>
      <w:r>
        <w:rPr>
          <w:rFonts w:hint="eastAsia" w:ascii="Times New Roman" w:hAnsi="Times New Roman" w:eastAsia="方正仿宋_GBK" w:cs="方正仿宋_GBK"/>
          <w:i w:val="0"/>
          <w:iCs w:val="0"/>
          <w:color w:val="auto"/>
          <w:sz w:val="32"/>
          <w:szCs w:val="32"/>
          <w:highlight w:val="none"/>
          <w:lang w:val="en-US" w:eastAsia="zh-CN"/>
        </w:rPr>
        <w:t>征收</w:t>
      </w:r>
      <w:r>
        <w:rPr>
          <w:rFonts w:hint="eastAsia" w:ascii="Times New Roman" w:hAnsi="Times New Roman" w:eastAsia="方正仿宋_GBK" w:cs="方正仿宋_GBK"/>
          <w:i w:val="0"/>
          <w:iCs w:val="0"/>
          <w:color w:val="auto"/>
          <w:sz w:val="32"/>
          <w:szCs w:val="32"/>
          <w:highlight w:val="none"/>
        </w:rPr>
        <w:t>前的效益，停产停业期限等因素确定。房屋被</w:t>
      </w:r>
      <w:r>
        <w:rPr>
          <w:rFonts w:hint="eastAsia" w:ascii="Times New Roman" w:hAnsi="Times New Roman" w:eastAsia="方正仿宋_GBK" w:cs="方正仿宋_GBK"/>
          <w:i w:val="0"/>
          <w:iCs w:val="0"/>
          <w:color w:val="auto"/>
          <w:sz w:val="32"/>
          <w:szCs w:val="32"/>
          <w:highlight w:val="none"/>
          <w:lang w:val="en-US" w:eastAsia="zh-CN"/>
        </w:rPr>
        <w:t>征收</w:t>
      </w:r>
      <w:r>
        <w:rPr>
          <w:rFonts w:hint="eastAsia" w:ascii="Times New Roman" w:hAnsi="Times New Roman" w:eastAsia="方正仿宋_GBK" w:cs="方正仿宋_GBK"/>
          <w:i w:val="0"/>
          <w:iCs w:val="0"/>
          <w:color w:val="auto"/>
          <w:sz w:val="32"/>
          <w:szCs w:val="32"/>
          <w:highlight w:val="none"/>
        </w:rPr>
        <w:t>前的效益原则上按照房屋</w:t>
      </w:r>
      <w:r>
        <w:rPr>
          <w:rFonts w:hint="eastAsia" w:ascii="Times New Roman" w:hAnsi="Times New Roman" w:eastAsia="方正仿宋_GBK" w:cs="方正仿宋_GBK"/>
          <w:i w:val="0"/>
          <w:iCs w:val="0"/>
          <w:color w:val="auto"/>
          <w:sz w:val="32"/>
          <w:szCs w:val="32"/>
          <w:highlight w:val="none"/>
          <w:lang w:val="en-US" w:eastAsia="zh-CN"/>
        </w:rPr>
        <w:t>征收</w:t>
      </w:r>
      <w:r>
        <w:rPr>
          <w:rFonts w:hint="eastAsia" w:ascii="Times New Roman" w:hAnsi="Times New Roman" w:eastAsia="方正仿宋_GBK" w:cs="方正仿宋_GBK"/>
          <w:i w:val="0"/>
          <w:iCs w:val="0"/>
          <w:color w:val="auto"/>
          <w:sz w:val="32"/>
          <w:szCs w:val="32"/>
          <w:highlight w:val="none"/>
        </w:rPr>
        <w:t>决定作出前3年的平均效益计算；不满3年的，按照实际年限计算。根据企业平均效益与企业所得税纳税额密切相关的实际情况，以会计核算及其他有关资料为依据，停产停业损失按房屋</w:t>
      </w:r>
      <w:r>
        <w:rPr>
          <w:rFonts w:hint="eastAsia" w:ascii="Times New Roman" w:hAnsi="Times New Roman" w:eastAsia="方正仿宋_GBK" w:cs="方正仿宋_GBK"/>
          <w:i w:val="0"/>
          <w:iCs w:val="0"/>
          <w:color w:val="auto"/>
          <w:sz w:val="32"/>
          <w:szCs w:val="32"/>
          <w:highlight w:val="none"/>
          <w:lang w:val="en-US" w:eastAsia="zh-CN"/>
        </w:rPr>
        <w:t>征收</w:t>
      </w:r>
      <w:r>
        <w:rPr>
          <w:rFonts w:hint="eastAsia" w:ascii="Times New Roman" w:hAnsi="Times New Roman" w:eastAsia="方正仿宋_GBK" w:cs="方正仿宋_GBK"/>
          <w:i w:val="0"/>
          <w:iCs w:val="0"/>
          <w:color w:val="auto"/>
          <w:sz w:val="32"/>
          <w:szCs w:val="32"/>
          <w:highlight w:val="none"/>
        </w:rPr>
        <w:t>决定作出前3年的企业所得税平均数的3倍计算；不满3年的，按照实际年限企业所得税平均数的3倍计算。</w:t>
      </w:r>
    </w:p>
    <w:p w14:paraId="5743D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i w:val="0"/>
          <w:iCs w:val="0"/>
          <w:color w:val="auto"/>
          <w:sz w:val="32"/>
          <w:szCs w:val="32"/>
          <w:highlight w:val="none"/>
        </w:rPr>
      </w:pPr>
      <w:r>
        <w:rPr>
          <w:rFonts w:hint="eastAsia" w:ascii="Times New Roman" w:hAnsi="Times New Roman" w:eastAsia="方正仿宋_GBK" w:cs="方正仿宋_GBK"/>
          <w:i w:val="0"/>
          <w:iCs w:val="0"/>
          <w:color w:val="auto"/>
          <w:sz w:val="32"/>
          <w:szCs w:val="32"/>
          <w:highlight w:val="none"/>
        </w:rPr>
        <w:t>营业用房、办公性质的停产停业期限以6个月计算，其他非住宅停产停业期限参考国家规定小、中、大企业规模建设周期，原则上分别为12、15、18个月计算。</w:t>
      </w:r>
    </w:p>
    <w:p w14:paraId="26B72A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i w:val="0"/>
          <w:iCs w:val="0"/>
          <w:color w:val="auto"/>
          <w:sz w:val="32"/>
          <w:szCs w:val="32"/>
          <w:highlight w:val="none"/>
        </w:rPr>
      </w:pPr>
      <w:r>
        <w:rPr>
          <w:rFonts w:hint="eastAsia" w:ascii="Times New Roman" w:hAnsi="Times New Roman" w:eastAsia="方正仿宋_GBK" w:cs="方正仿宋_GBK"/>
          <w:i w:val="0"/>
          <w:iCs w:val="0"/>
          <w:color w:val="auto"/>
          <w:sz w:val="32"/>
          <w:szCs w:val="32"/>
          <w:highlight w:val="none"/>
        </w:rPr>
        <w:t>对无法以所得税计算的，停产停业损失按被</w:t>
      </w:r>
      <w:r>
        <w:rPr>
          <w:rFonts w:hint="eastAsia" w:ascii="Times New Roman" w:hAnsi="Times New Roman" w:eastAsia="方正仿宋_GBK" w:cs="方正仿宋_GBK"/>
          <w:i w:val="0"/>
          <w:iCs w:val="0"/>
          <w:color w:val="auto"/>
          <w:sz w:val="32"/>
          <w:szCs w:val="32"/>
          <w:highlight w:val="none"/>
          <w:lang w:val="en-US" w:eastAsia="zh-CN"/>
        </w:rPr>
        <w:t>征收</w:t>
      </w:r>
      <w:r>
        <w:rPr>
          <w:rFonts w:hint="eastAsia" w:ascii="Times New Roman" w:hAnsi="Times New Roman" w:eastAsia="方正仿宋_GBK" w:cs="方正仿宋_GBK"/>
          <w:i w:val="0"/>
          <w:iCs w:val="0"/>
          <w:color w:val="auto"/>
          <w:sz w:val="32"/>
          <w:szCs w:val="32"/>
          <w:highlight w:val="none"/>
        </w:rPr>
        <w:t>房屋货币补偿金额的3%-5%计算。</w:t>
      </w:r>
    </w:p>
    <w:p w14:paraId="5B6EE6E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i w:val="0"/>
          <w:iCs w:val="0"/>
          <w:color w:val="auto"/>
          <w:sz w:val="32"/>
          <w:szCs w:val="32"/>
          <w:highlight w:val="none"/>
        </w:rPr>
      </w:pPr>
      <w:r>
        <w:rPr>
          <w:rFonts w:hint="eastAsia" w:ascii="Times New Roman" w:hAnsi="Times New Roman" w:eastAsia="方正仿宋_GBK" w:cs="方正仿宋_GBK"/>
          <w:b/>
          <w:i w:val="0"/>
          <w:iCs w:val="0"/>
          <w:color w:val="auto"/>
          <w:sz w:val="32"/>
          <w:szCs w:val="32"/>
          <w:highlight w:val="none"/>
          <w:lang w:eastAsia="zh-CN"/>
        </w:rPr>
        <w:t>（</w:t>
      </w:r>
      <w:r>
        <w:rPr>
          <w:rFonts w:hint="eastAsia" w:ascii="Times New Roman" w:hAnsi="Times New Roman" w:eastAsia="方正仿宋_GBK" w:cs="方正仿宋_GBK"/>
          <w:b/>
          <w:i w:val="0"/>
          <w:iCs w:val="0"/>
          <w:color w:val="auto"/>
          <w:sz w:val="32"/>
          <w:szCs w:val="32"/>
          <w:highlight w:val="none"/>
          <w:lang w:val="en-US" w:eastAsia="zh-CN"/>
        </w:rPr>
        <w:t>3</w:t>
      </w:r>
      <w:r>
        <w:rPr>
          <w:rFonts w:hint="eastAsia" w:ascii="Times New Roman" w:hAnsi="Times New Roman" w:eastAsia="方正仿宋_GBK" w:cs="方正仿宋_GBK"/>
          <w:b/>
          <w:i w:val="0"/>
          <w:iCs w:val="0"/>
          <w:color w:val="auto"/>
          <w:sz w:val="32"/>
          <w:szCs w:val="32"/>
          <w:highlight w:val="none"/>
          <w:lang w:eastAsia="zh-CN"/>
        </w:rPr>
        <w:t>）</w:t>
      </w:r>
      <w:r>
        <w:rPr>
          <w:rFonts w:hint="eastAsia" w:ascii="Times New Roman" w:hAnsi="Times New Roman" w:eastAsia="方正仿宋_GBK" w:cs="方正仿宋_GBK"/>
          <w:b/>
          <w:i w:val="0"/>
          <w:iCs w:val="0"/>
          <w:color w:val="auto"/>
          <w:sz w:val="32"/>
          <w:szCs w:val="32"/>
          <w:highlight w:val="none"/>
        </w:rPr>
        <w:t>住改非停产停业损失补偿：</w:t>
      </w:r>
      <w:r>
        <w:rPr>
          <w:rFonts w:hint="eastAsia" w:ascii="Times New Roman" w:hAnsi="Times New Roman" w:eastAsia="方正仿宋_GBK" w:cs="方正仿宋_GBK"/>
          <w:i w:val="0"/>
          <w:iCs w:val="0"/>
          <w:color w:val="auto"/>
          <w:sz w:val="32"/>
          <w:szCs w:val="32"/>
          <w:highlight w:val="none"/>
        </w:rPr>
        <w:t>被</w:t>
      </w:r>
      <w:r>
        <w:rPr>
          <w:rFonts w:hint="eastAsia" w:ascii="Times New Roman" w:hAnsi="Times New Roman" w:eastAsia="方正仿宋_GBK" w:cs="方正仿宋_GBK"/>
          <w:i w:val="0"/>
          <w:iCs w:val="0"/>
          <w:color w:val="auto"/>
          <w:sz w:val="32"/>
          <w:szCs w:val="32"/>
          <w:highlight w:val="none"/>
          <w:lang w:val="en-US" w:eastAsia="zh-CN"/>
        </w:rPr>
        <w:t>征收</w:t>
      </w:r>
      <w:r>
        <w:rPr>
          <w:rFonts w:hint="eastAsia" w:ascii="Times New Roman" w:hAnsi="Times New Roman" w:eastAsia="方正仿宋_GBK" w:cs="方正仿宋_GBK"/>
          <w:i w:val="0"/>
          <w:iCs w:val="0"/>
          <w:color w:val="auto"/>
          <w:sz w:val="32"/>
          <w:szCs w:val="32"/>
          <w:highlight w:val="none"/>
        </w:rPr>
        <w:t>人擅自将住宅房屋改变为经营性用房的</w:t>
      </w:r>
      <w:r>
        <w:rPr>
          <w:rFonts w:hint="eastAsia" w:ascii="Times New Roman" w:hAnsi="Times New Roman" w:eastAsia="方正仿宋_GBK" w:cs="方正仿宋_GBK"/>
          <w:i w:val="0"/>
          <w:iCs w:val="0"/>
          <w:color w:val="auto"/>
          <w:sz w:val="32"/>
          <w:szCs w:val="32"/>
          <w:highlight w:val="none"/>
          <w:lang w:eastAsia="zh-CN"/>
        </w:rPr>
        <w:t>，</w:t>
      </w:r>
      <w:r>
        <w:rPr>
          <w:rFonts w:hint="eastAsia" w:ascii="Times New Roman" w:hAnsi="Times New Roman" w:eastAsia="方正仿宋_GBK" w:cs="方正仿宋_GBK"/>
          <w:i w:val="0"/>
          <w:iCs w:val="0"/>
          <w:color w:val="auto"/>
          <w:sz w:val="32"/>
          <w:szCs w:val="32"/>
          <w:highlight w:val="none"/>
          <w:lang w:val="en-US" w:eastAsia="zh-CN"/>
        </w:rPr>
        <w:t>征收</w:t>
      </w:r>
      <w:r>
        <w:rPr>
          <w:rFonts w:hint="eastAsia" w:ascii="Times New Roman" w:hAnsi="Times New Roman" w:eastAsia="方正仿宋_GBK" w:cs="方正仿宋_GBK"/>
          <w:i w:val="0"/>
          <w:iCs w:val="0"/>
          <w:color w:val="auto"/>
          <w:sz w:val="32"/>
          <w:szCs w:val="32"/>
          <w:highlight w:val="none"/>
        </w:rPr>
        <w:t>时不给予停产停业损失补偿；擅自改变非住宅房屋用途的，按照原用途计算停产停业损失。</w:t>
      </w:r>
    </w:p>
    <w:p w14:paraId="676523B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i w:val="0"/>
          <w:iCs w:val="0"/>
          <w:color w:val="auto"/>
          <w:sz w:val="32"/>
          <w:szCs w:val="32"/>
          <w:highlight w:val="none"/>
          <w:lang w:val="en-US" w:eastAsia="zh-CN"/>
        </w:rPr>
      </w:pPr>
      <w:r>
        <w:rPr>
          <w:rFonts w:hint="eastAsia" w:ascii="Times New Roman" w:hAnsi="Times New Roman" w:eastAsia="方正仿宋_GBK" w:cs="方正仿宋_GBK"/>
          <w:i w:val="0"/>
          <w:iCs w:val="0"/>
          <w:color w:val="auto"/>
          <w:sz w:val="32"/>
          <w:szCs w:val="32"/>
          <w:highlight w:val="none"/>
          <w:lang w:val="en-US" w:eastAsia="zh-CN"/>
        </w:rPr>
        <w:t>被征收房屋于2010年7月1日前已经改变为经营性用房,并取得工商营业执照、持续营业一年以上的,可以结合实际营业年限</w:t>
      </w:r>
      <w:r>
        <w:rPr>
          <w:rFonts w:hint="eastAsia" w:ascii="Times New Roman" w:hAnsi="Times New Roman" w:eastAsia="方正仿宋_GBK" w:cs="方正仿宋_GBK"/>
          <w:i w:val="0"/>
          <w:iCs w:val="0"/>
          <w:color w:val="auto"/>
          <w:sz w:val="32"/>
          <w:szCs w:val="32"/>
          <w:highlight w:val="none"/>
        </w:rPr>
        <w:t>（以工商营业执照为准）</w:t>
      </w:r>
      <w:r>
        <w:rPr>
          <w:rFonts w:hint="eastAsia" w:ascii="Times New Roman" w:hAnsi="Times New Roman" w:eastAsia="方正仿宋_GBK" w:cs="方正仿宋_GBK"/>
          <w:i w:val="0"/>
          <w:iCs w:val="0"/>
          <w:color w:val="auto"/>
          <w:sz w:val="32"/>
          <w:szCs w:val="32"/>
          <w:highlight w:val="none"/>
          <w:lang w:val="en-US" w:eastAsia="zh-CN"/>
        </w:rPr>
        <w:t>按照适当比例给予停产停业损失补偿：满一年的给予停产停业损失评估价10％的补偿，以后每多一年再增加5％的补偿，满15年以上的，给予80％的补偿。</w:t>
      </w:r>
    </w:p>
    <w:p w14:paraId="02BC55E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Times New Roman" w:hAnsi="Times New Roman" w:eastAsia="方正仿宋_GBK" w:cs="方正仿宋_GBK"/>
          <w:i w:val="0"/>
          <w:iCs w:val="0"/>
          <w:color w:val="auto"/>
          <w:sz w:val="32"/>
          <w:szCs w:val="32"/>
          <w:highlight w:val="none"/>
          <w:lang w:val="en-US" w:eastAsia="zh-CN"/>
        </w:rPr>
      </w:pPr>
      <w:r>
        <w:rPr>
          <w:rFonts w:hint="eastAsia" w:ascii="Times New Roman" w:hAnsi="Times New Roman" w:eastAsia="方正仿宋_GBK" w:cs="方正仿宋_GBK"/>
          <w:i w:val="0"/>
          <w:iCs w:val="0"/>
          <w:color w:val="auto"/>
          <w:sz w:val="32"/>
          <w:szCs w:val="32"/>
          <w:highlight w:val="none"/>
          <w:lang w:val="en-US" w:eastAsia="zh-CN"/>
        </w:rPr>
        <w:t>停产停业损失补偿费具体由征收当事人协商确定;协商不成的,可以依法委托房地产价格评估机构通过评估确定。</w:t>
      </w:r>
    </w:p>
    <w:p w14:paraId="43284EE7">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楷体_GBK" w:cs="方正楷体_GBK"/>
          <w:b/>
          <w:bCs/>
          <w:color w:val="auto"/>
          <w:sz w:val="32"/>
          <w:szCs w:val="32"/>
          <w:highlight w:val="none"/>
          <w:lang w:eastAsia="zh-CN"/>
        </w:rPr>
      </w:pPr>
      <w:r>
        <w:rPr>
          <w:rFonts w:hint="eastAsia" w:ascii="Times New Roman" w:hAnsi="Times New Roman" w:eastAsia="方正楷体_GBK" w:cs="方正楷体_GBK"/>
          <w:b/>
          <w:bCs/>
          <w:color w:val="auto"/>
          <w:sz w:val="32"/>
          <w:szCs w:val="32"/>
          <w:highlight w:val="none"/>
          <w:lang w:val="en-US" w:eastAsia="zh-CN"/>
        </w:rPr>
        <w:t>（三）</w:t>
      </w:r>
      <w:r>
        <w:rPr>
          <w:rFonts w:hint="eastAsia" w:ascii="Times New Roman" w:hAnsi="Times New Roman" w:eastAsia="方正楷体_GBK" w:cs="方正楷体_GBK"/>
          <w:b/>
          <w:bCs/>
          <w:color w:val="auto"/>
          <w:sz w:val="32"/>
          <w:szCs w:val="32"/>
          <w:highlight w:val="none"/>
          <w:lang w:eastAsia="zh-CN"/>
        </w:rPr>
        <w:t>补助和奖励</w:t>
      </w:r>
    </w:p>
    <w:p w14:paraId="1A13778B">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color w:val="auto"/>
          <w:sz w:val="32"/>
          <w:szCs w:val="32"/>
          <w:highlight w:val="none"/>
        </w:rPr>
      </w:pPr>
      <w:r>
        <w:rPr>
          <w:rFonts w:hint="eastAsia" w:ascii="Times New Roman" w:hAnsi="Times New Roman" w:eastAsia="方正仿宋_GBK" w:cs="方正仿宋_GBK"/>
          <w:b/>
          <w:bCs/>
          <w:color w:val="auto"/>
          <w:sz w:val="32"/>
          <w:szCs w:val="32"/>
          <w:highlight w:val="none"/>
        </w:rPr>
        <w:t>1、补助</w:t>
      </w:r>
    </w:p>
    <w:p w14:paraId="6C3080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征收住宅房屋,被征收人及户籍内家庭成员(指配偶、直系亲属及有合法收养关系、监护关系的人员等)因身患重大疾病、残疾和低保对象需要给予照顾的,可适当给予补助，补助对象和标准详见附表。</w:t>
      </w:r>
    </w:p>
    <w:p w14:paraId="3E67EBA1">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color w:val="auto"/>
          <w:sz w:val="32"/>
          <w:szCs w:val="32"/>
          <w:highlight w:val="none"/>
        </w:rPr>
      </w:pPr>
      <w:r>
        <w:rPr>
          <w:rFonts w:hint="eastAsia" w:ascii="Times New Roman" w:hAnsi="Times New Roman" w:eastAsia="方正仿宋_GBK" w:cs="方正仿宋_GBK"/>
          <w:b/>
          <w:bCs/>
          <w:color w:val="auto"/>
          <w:sz w:val="32"/>
          <w:szCs w:val="32"/>
          <w:highlight w:val="none"/>
        </w:rPr>
        <w:t>2、奖励</w:t>
      </w:r>
    </w:p>
    <w:p w14:paraId="6261BE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被征收人在本方案确定的签约期限内签约并按照约定搬家交房的,给予奖励。</w:t>
      </w:r>
    </w:p>
    <w:p w14:paraId="7D0FA9B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（1）配合调查奖：被征收人按照征收部门调查公告要求配合调查的，每个院落奖励2000元。</w:t>
      </w:r>
    </w:p>
    <w:p w14:paraId="70AA23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rPr>
        <w:t>（2）签约拆除奖：协议期内签约并搬家交房的，</w:t>
      </w:r>
      <w:r>
        <w:rPr>
          <w:rFonts w:hint="eastAsia" w:ascii="Times New Roman" w:hAnsi="Times New Roman" w:eastAsia="方正仿宋_GBK" w:cs="方正仿宋_GBK"/>
          <w:color w:val="auto"/>
          <w:sz w:val="32"/>
          <w:szCs w:val="32"/>
          <w:highlight w:val="none"/>
          <w:lang w:eastAsia="zh-CN"/>
        </w:rPr>
        <w:t>住宅</w:t>
      </w:r>
      <w:r>
        <w:rPr>
          <w:rFonts w:hint="eastAsia" w:ascii="Times New Roman" w:hAnsi="Times New Roman" w:eastAsia="方正仿宋_GBK" w:cs="方正仿宋_GBK"/>
          <w:color w:val="auto"/>
          <w:sz w:val="32"/>
          <w:szCs w:val="32"/>
          <w:highlight w:val="none"/>
        </w:rPr>
        <w:t>按合法建筑面积200元/㎡奖励。</w:t>
      </w:r>
      <w:r>
        <w:rPr>
          <w:rFonts w:hint="eastAsia" w:ascii="Times New Roman" w:hAnsi="Times New Roman" w:eastAsia="方正仿宋_GBK" w:cs="方正仿宋_GBK"/>
          <w:color w:val="auto"/>
          <w:sz w:val="32"/>
          <w:szCs w:val="32"/>
          <w:highlight w:val="none"/>
          <w:lang w:eastAsia="zh-CN"/>
        </w:rPr>
        <w:t>非住宅的单位或企业实行累进奖励，具体为</w:t>
      </w:r>
      <w:r>
        <w:rPr>
          <w:rFonts w:hint="eastAsia" w:ascii="Times New Roman" w:hAnsi="Times New Roman" w:eastAsia="方正仿宋_GBK" w:cs="方正仿宋_GBK"/>
          <w:color w:val="auto"/>
          <w:sz w:val="32"/>
          <w:szCs w:val="32"/>
          <w:highlight w:val="none"/>
          <w:lang w:val="en-US" w:eastAsia="zh-CN"/>
        </w:rPr>
        <w:t>500</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以内的部分（含</w:t>
      </w:r>
      <w:r>
        <w:rPr>
          <w:rFonts w:hint="eastAsia" w:ascii="Times New Roman" w:hAnsi="Times New Roman" w:eastAsia="方正仿宋_GBK" w:cs="方正仿宋_GBK"/>
          <w:color w:val="auto"/>
          <w:sz w:val="32"/>
          <w:szCs w:val="32"/>
          <w:highlight w:val="none"/>
          <w:lang w:val="en-US" w:eastAsia="zh-CN"/>
        </w:rPr>
        <w:t>500</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）奖励</w:t>
      </w:r>
      <w:r>
        <w:rPr>
          <w:rFonts w:hint="eastAsia" w:ascii="Times New Roman" w:hAnsi="Times New Roman" w:eastAsia="方正仿宋_GBK" w:cs="方正仿宋_GBK"/>
          <w:color w:val="auto"/>
          <w:sz w:val="32"/>
          <w:szCs w:val="32"/>
          <w:highlight w:val="none"/>
          <w:lang w:val="en-US" w:eastAsia="zh-CN"/>
        </w:rPr>
        <w:t>200元/</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500</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至</w:t>
      </w:r>
      <w:r>
        <w:rPr>
          <w:rFonts w:hint="eastAsia" w:ascii="Times New Roman" w:hAnsi="Times New Roman" w:eastAsia="方正仿宋_GBK" w:cs="方正仿宋_GBK"/>
          <w:color w:val="auto"/>
          <w:sz w:val="32"/>
          <w:szCs w:val="32"/>
          <w:highlight w:val="none"/>
          <w:lang w:val="en-US" w:eastAsia="zh-CN"/>
        </w:rPr>
        <w:t>1000</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（含</w:t>
      </w:r>
      <w:r>
        <w:rPr>
          <w:rFonts w:hint="eastAsia" w:ascii="Times New Roman" w:hAnsi="Times New Roman" w:eastAsia="方正仿宋_GBK" w:cs="方正仿宋_GBK"/>
          <w:color w:val="auto"/>
          <w:sz w:val="32"/>
          <w:szCs w:val="32"/>
          <w:highlight w:val="none"/>
          <w:lang w:val="en-US" w:eastAsia="zh-CN"/>
        </w:rPr>
        <w:t>1000</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）的部分奖励</w:t>
      </w:r>
      <w:r>
        <w:rPr>
          <w:rFonts w:hint="eastAsia" w:ascii="Times New Roman" w:hAnsi="Times New Roman" w:eastAsia="方正仿宋_GBK" w:cs="方正仿宋_GBK"/>
          <w:color w:val="auto"/>
          <w:sz w:val="32"/>
          <w:szCs w:val="32"/>
          <w:highlight w:val="none"/>
          <w:lang w:val="en-US" w:eastAsia="zh-CN"/>
        </w:rPr>
        <w:t>100元/</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1000</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以上的部分奖励</w:t>
      </w:r>
      <w:r>
        <w:rPr>
          <w:rFonts w:hint="eastAsia" w:ascii="Times New Roman" w:hAnsi="Times New Roman" w:eastAsia="方正仿宋_GBK" w:cs="方正仿宋_GBK"/>
          <w:color w:val="auto"/>
          <w:sz w:val="32"/>
          <w:szCs w:val="32"/>
          <w:highlight w:val="none"/>
          <w:lang w:val="en-US" w:eastAsia="zh-CN"/>
        </w:rPr>
        <w:t>50元/</w:t>
      </w:r>
      <w:r>
        <w:rPr>
          <w:rFonts w:hint="eastAsia" w:ascii="Times New Roman" w:hAnsi="Times New Roman" w:eastAsia="方正仿宋_GBK" w:cs="方正仿宋_GBK"/>
          <w:color w:val="auto"/>
          <w:sz w:val="32"/>
          <w:szCs w:val="32"/>
          <w:highlight w:val="none"/>
        </w:rPr>
        <w:t>㎡</w:t>
      </w:r>
      <w:r>
        <w:rPr>
          <w:rFonts w:hint="eastAsia" w:ascii="Times New Roman" w:hAnsi="Times New Roman" w:eastAsia="方正仿宋_GBK" w:cs="方正仿宋_GBK"/>
          <w:color w:val="auto"/>
          <w:sz w:val="32"/>
          <w:szCs w:val="32"/>
          <w:highlight w:val="none"/>
          <w:lang w:eastAsia="zh-CN"/>
        </w:rPr>
        <w:t>。</w:t>
      </w:r>
    </w:p>
    <w:p w14:paraId="1227F6E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rPr>
        <w:t>对房屋征收部门报请人民政府作出补偿决定的被征收人,一律不享有补助和奖励。</w:t>
      </w:r>
    </w:p>
    <w:p w14:paraId="7BABD9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楷体_GBK" w:cs="方正楷体_GBK"/>
          <w:b/>
          <w:bCs/>
          <w:color w:val="auto"/>
          <w:kern w:val="2"/>
          <w:sz w:val="32"/>
          <w:szCs w:val="32"/>
          <w:highlight w:val="none"/>
          <w:lang w:val="en-US" w:eastAsia="zh-CN" w:bidi="ar-SA"/>
        </w:rPr>
      </w:pPr>
      <w:r>
        <w:rPr>
          <w:rFonts w:hint="eastAsia" w:ascii="Times New Roman" w:hAnsi="Times New Roman" w:eastAsia="方正楷体_GBK" w:cs="方正楷体_GBK"/>
          <w:b/>
          <w:bCs/>
          <w:color w:val="auto"/>
          <w:kern w:val="2"/>
          <w:sz w:val="32"/>
          <w:szCs w:val="32"/>
          <w:highlight w:val="none"/>
          <w:lang w:val="en-US" w:eastAsia="zh-CN" w:bidi="ar-SA"/>
        </w:rPr>
        <w:t>（四）补偿对象</w:t>
      </w:r>
    </w:p>
    <w:p w14:paraId="33A7602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lang w:eastAsia="zh-CN"/>
        </w:rPr>
      </w:pPr>
      <w:r>
        <w:rPr>
          <w:rFonts w:hint="eastAsia" w:ascii="Times New Roman" w:hAnsi="Times New Roman" w:eastAsia="方正仿宋_GBK" w:cs="方正仿宋_GBK"/>
          <w:color w:val="auto"/>
          <w:sz w:val="32"/>
          <w:szCs w:val="32"/>
          <w:highlight w:val="none"/>
        </w:rPr>
        <w:t>1、私有住宅房屋：对被征收房屋的所有权人给予补偿</w:t>
      </w:r>
      <w:r>
        <w:rPr>
          <w:rFonts w:hint="eastAsia" w:ascii="Times New Roman" w:hAnsi="Times New Roman" w:eastAsia="方正仿宋_GBK" w:cs="方正仿宋_GBK"/>
          <w:color w:val="auto"/>
          <w:sz w:val="32"/>
          <w:szCs w:val="32"/>
          <w:highlight w:val="none"/>
          <w:lang w:eastAsia="zh-CN"/>
        </w:rPr>
        <w:t>。</w:t>
      </w:r>
    </w:p>
    <w:p w14:paraId="723245F8">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楷体_GBK" w:cs="方正楷体_GBK"/>
          <w:b/>
          <w:bCs/>
          <w:color w:val="auto"/>
          <w:sz w:val="32"/>
          <w:szCs w:val="32"/>
          <w:highlight w:val="none"/>
          <w:lang w:eastAsia="zh-CN"/>
        </w:rPr>
      </w:pPr>
      <w:r>
        <w:rPr>
          <w:rFonts w:hint="eastAsia" w:ascii="Times New Roman" w:hAnsi="Times New Roman" w:eastAsia="方正楷体_GBK" w:cs="方正楷体_GBK"/>
          <w:b/>
          <w:bCs/>
          <w:color w:val="auto"/>
          <w:sz w:val="32"/>
          <w:szCs w:val="32"/>
          <w:highlight w:val="none"/>
          <w:lang w:eastAsia="zh-CN"/>
        </w:rPr>
        <w:t>（</w:t>
      </w:r>
      <w:r>
        <w:rPr>
          <w:rFonts w:hint="eastAsia" w:ascii="Times New Roman" w:hAnsi="Times New Roman" w:eastAsia="方正楷体_GBK" w:cs="方正楷体_GBK"/>
          <w:b/>
          <w:bCs/>
          <w:color w:val="auto"/>
          <w:sz w:val="32"/>
          <w:szCs w:val="32"/>
          <w:highlight w:val="none"/>
          <w:lang w:val="en-US" w:eastAsia="zh-CN"/>
        </w:rPr>
        <w:t>五</w:t>
      </w:r>
      <w:r>
        <w:rPr>
          <w:rFonts w:hint="eastAsia" w:ascii="Times New Roman" w:hAnsi="Times New Roman" w:eastAsia="方正楷体_GBK" w:cs="方正楷体_GBK"/>
          <w:b/>
          <w:bCs/>
          <w:color w:val="auto"/>
          <w:sz w:val="32"/>
          <w:szCs w:val="32"/>
          <w:highlight w:val="none"/>
          <w:lang w:eastAsia="zh-CN"/>
        </w:rPr>
        <w:t>）未登记建筑的补偿</w:t>
      </w:r>
    </w:p>
    <w:p w14:paraId="2C904B5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对征收范围内未经登记的建筑,在房屋征收决定作出前,由有关部门依法进行调查、认定和处理。对认定为合法建筑的依法给予补偿;对认定为未超过批准期限的临时建筑的,按剩余使用期限分摊的建造成本给予补偿;对认定为违法建筑和超过批准期限的临时建筑的,一律不予补偿。规划部门在发放临时建设工程规划许可证时,已注明在批准期限内因城市建设需要无偿拆除的,不予补偿。</w:t>
      </w:r>
    </w:p>
    <w:p w14:paraId="29DFD7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对未登记的建筑，房屋被</w:t>
      </w:r>
      <w:r>
        <w:rPr>
          <w:rFonts w:hint="eastAsia" w:ascii="Times New Roman" w:hAnsi="Times New Roman" w:eastAsia="方正仿宋_GBK" w:cs="方正仿宋_GBK"/>
          <w:color w:val="auto"/>
          <w:sz w:val="32"/>
          <w:szCs w:val="32"/>
          <w:highlight w:val="none"/>
          <w:lang w:val="en-US" w:eastAsia="zh-CN"/>
        </w:rPr>
        <w:t>征收</w:t>
      </w:r>
      <w:r>
        <w:rPr>
          <w:rFonts w:hint="eastAsia" w:ascii="Times New Roman" w:hAnsi="Times New Roman" w:eastAsia="方正仿宋_GBK" w:cs="方正仿宋_GBK"/>
          <w:color w:val="auto"/>
          <w:sz w:val="32"/>
          <w:szCs w:val="32"/>
          <w:highlight w:val="none"/>
        </w:rPr>
        <w:t>人</w:t>
      </w:r>
      <w:r>
        <w:rPr>
          <w:rFonts w:hint="eastAsia" w:ascii="Times New Roman" w:hAnsi="Times New Roman" w:eastAsia="方正仿宋_GBK" w:cs="方正仿宋_GBK"/>
          <w:color w:val="auto"/>
          <w:sz w:val="32"/>
          <w:szCs w:val="32"/>
          <w:highlight w:val="none"/>
          <w:lang w:val="en-US" w:eastAsia="zh-CN"/>
        </w:rPr>
        <w:t>必须</w:t>
      </w:r>
      <w:r>
        <w:rPr>
          <w:rFonts w:hint="eastAsia" w:ascii="Times New Roman" w:hAnsi="Times New Roman" w:eastAsia="方正仿宋_GBK" w:cs="方正仿宋_GBK"/>
          <w:color w:val="auto"/>
          <w:sz w:val="32"/>
          <w:szCs w:val="32"/>
          <w:highlight w:val="none"/>
        </w:rPr>
        <w:t>支持配合房屋</w:t>
      </w:r>
      <w:r>
        <w:rPr>
          <w:rFonts w:hint="eastAsia" w:ascii="Times New Roman" w:hAnsi="Times New Roman" w:eastAsia="方正仿宋_GBK" w:cs="方正仿宋_GBK"/>
          <w:color w:val="auto"/>
          <w:sz w:val="32"/>
          <w:szCs w:val="32"/>
          <w:highlight w:val="none"/>
          <w:lang w:val="en-US" w:eastAsia="zh-CN"/>
        </w:rPr>
        <w:t>征收</w:t>
      </w:r>
      <w:r>
        <w:rPr>
          <w:rFonts w:hint="eastAsia" w:ascii="Times New Roman" w:hAnsi="Times New Roman" w:eastAsia="方正仿宋_GBK" w:cs="方正仿宋_GBK"/>
          <w:color w:val="auto"/>
          <w:sz w:val="32"/>
          <w:szCs w:val="32"/>
          <w:highlight w:val="none"/>
        </w:rPr>
        <w:t>工作，且能按期签约、搬家、交房</w:t>
      </w:r>
      <w:r>
        <w:rPr>
          <w:rFonts w:hint="eastAsia" w:ascii="Times New Roman" w:hAnsi="Times New Roman" w:eastAsia="方正仿宋_GBK" w:cs="方正仿宋_GBK"/>
          <w:color w:val="auto"/>
          <w:sz w:val="32"/>
          <w:szCs w:val="32"/>
          <w:highlight w:val="none"/>
          <w:lang w:eastAsia="zh-CN"/>
        </w:rPr>
        <w:t>的</w:t>
      </w:r>
      <w:r>
        <w:rPr>
          <w:rFonts w:hint="eastAsia" w:ascii="Times New Roman" w:hAnsi="Times New Roman" w:eastAsia="方正仿宋_GBK" w:cs="方正仿宋_GBK"/>
          <w:color w:val="auto"/>
          <w:sz w:val="32"/>
          <w:szCs w:val="32"/>
          <w:highlight w:val="none"/>
        </w:rPr>
        <w:t>，根据房屋所建年代可按以下办法照顾处理：</w:t>
      </w:r>
    </w:p>
    <w:p w14:paraId="3A208B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1、对1986年版航测图形成以前建设的未登记建筑，在1986年版航测图上存在，且现状建筑面积及四址不超出航测图的部分，按照合法建筑补偿安置；</w:t>
      </w:r>
    </w:p>
    <w:p w14:paraId="76D49B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对1986年版航测图到2007年版航测图形成之间建设的未登记建筑，在2007年版航测图上存在，且现状建筑面积及四址不超出航测图的部分，房屋建筑面积超过143㎡的，房屋补偿面积按143㎡计算。按上述办法认定的房屋补偿面积以外的建筑，按建筑成本予以补助，不作安置。实际房屋建筑面积小于143㎡的，一律按实际房屋建筑面积认定。</w:t>
      </w:r>
    </w:p>
    <w:p w14:paraId="59388F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3、对2007年版航测图至2010年版航测图形成之间建设的未登记建筑，在2010年版航测图上存在，且现状建筑面积及四址不超出航测图部分，实测面积按参照合法面积60%补助</w:t>
      </w:r>
      <w:r>
        <w:rPr>
          <w:rFonts w:hint="eastAsia" w:ascii="Times New Roman" w:hAnsi="Times New Roman" w:eastAsia="方正仿宋_GBK" w:cs="方正仿宋_GBK"/>
          <w:color w:val="auto"/>
          <w:sz w:val="32"/>
          <w:szCs w:val="32"/>
          <w:highlight w:val="none"/>
          <w:lang w:eastAsia="zh-CN"/>
        </w:rPr>
        <w:t>和安置</w:t>
      </w:r>
      <w:r>
        <w:rPr>
          <w:rFonts w:hint="eastAsia" w:ascii="Times New Roman" w:hAnsi="Times New Roman" w:eastAsia="方正仿宋_GBK" w:cs="方正仿宋_GBK"/>
          <w:color w:val="auto"/>
          <w:sz w:val="32"/>
          <w:szCs w:val="32"/>
          <w:highlight w:val="none"/>
        </w:rPr>
        <w:t>，最高不超过143㎡。</w:t>
      </w:r>
    </w:p>
    <w:p w14:paraId="4EBBB8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4、对既有2007版航测图存在的房屋，又有2007年至2010年航测图形成之间建设的未登记建筑，房屋认定</w:t>
      </w:r>
      <w:r>
        <w:rPr>
          <w:rFonts w:hint="eastAsia" w:ascii="Times New Roman" w:hAnsi="Times New Roman" w:eastAsia="方正仿宋_GBK" w:cs="方正仿宋_GBK"/>
          <w:color w:val="auto"/>
          <w:sz w:val="32"/>
          <w:szCs w:val="32"/>
          <w:highlight w:val="none"/>
          <w:lang w:eastAsia="zh-CN"/>
        </w:rPr>
        <w:t>总</w:t>
      </w:r>
      <w:r>
        <w:rPr>
          <w:rFonts w:hint="eastAsia" w:ascii="Times New Roman" w:hAnsi="Times New Roman" w:eastAsia="方正仿宋_GBK" w:cs="方正仿宋_GBK"/>
          <w:color w:val="auto"/>
          <w:sz w:val="32"/>
          <w:szCs w:val="32"/>
          <w:highlight w:val="none"/>
        </w:rPr>
        <w:t>面积不得超过143㎡。</w:t>
      </w:r>
    </w:p>
    <w:p w14:paraId="5BD376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5</w:t>
      </w:r>
      <w:r>
        <w:rPr>
          <w:rFonts w:hint="eastAsia" w:ascii="Times New Roman" w:hAnsi="Times New Roman" w:eastAsia="方正仿宋_GBK" w:cs="方正仿宋_GBK"/>
          <w:color w:val="auto"/>
          <w:sz w:val="32"/>
          <w:szCs w:val="32"/>
          <w:highlight w:val="none"/>
        </w:rPr>
        <w:t>、对2010年版航测图形成之后形成的未登记建筑按建安价予以补助。</w:t>
      </w:r>
    </w:p>
    <w:p w14:paraId="6B0B3E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6</w:t>
      </w:r>
      <w:r>
        <w:rPr>
          <w:rFonts w:hint="eastAsia" w:ascii="Times New Roman" w:hAnsi="Times New Roman" w:eastAsia="方正仿宋_GBK" w:cs="方正仿宋_GBK"/>
          <w:color w:val="auto"/>
          <w:sz w:val="32"/>
          <w:szCs w:val="32"/>
          <w:highlight w:val="none"/>
        </w:rPr>
        <w:t>、对</w:t>
      </w:r>
      <w:r>
        <w:rPr>
          <w:rFonts w:hint="eastAsia" w:ascii="Times New Roman" w:hAnsi="Times New Roman" w:eastAsia="方正仿宋_GBK" w:cs="方正仿宋_GBK"/>
          <w:color w:val="auto"/>
          <w:sz w:val="32"/>
          <w:szCs w:val="32"/>
          <w:highlight w:val="none"/>
          <w:lang w:val="en-US" w:eastAsia="zh-CN"/>
        </w:rPr>
        <w:t>征收</w:t>
      </w:r>
      <w:r>
        <w:rPr>
          <w:rFonts w:hint="eastAsia" w:ascii="Times New Roman" w:hAnsi="Times New Roman" w:eastAsia="方正仿宋_GBK" w:cs="方正仿宋_GBK"/>
          <w:color w:val="auto"/>
          <w:sz w:val="32"/>
          <w:szCs w:val="32"/>
          <w:highlight w:val="none"/>
        </w:rPr>
        <w:t>范围内1986年之后所建房屋，未能按期签约拆除的，不享受以上照顾，一律交由</w:t>
      </w:r>
      <w:r>
        <w:rPr>
          <w:rFonts w:hint="eastAsia" w:ascii="Times New Roman" w:hAnsi="Times New Roman" w:eastAsia="方正仿宋_GBK" w:cs="方正仿宋_GBK"/>
          <w:color w:val="auto"/>
          <w:sz w:val="32"/>
          <w:szCs w:val="32"/>
          <w:highlight w:val="none"/>
          <w:lang w:eastAsia="zh-CN"/>
        </w:rPr>
        <w:t>相关</w:t>
      </w:r>
      <w:r>
        <w:rPr>
          <w:rFonts w:hint="eastAsia" w:ascii="Times New Roman" w:hAnsi="Times New Roman" w:eastAsia="方正仿宋_GBK" w:cs="方正仿宋_GBK"/>
          <w:color w:val="auto"/>
          <w:sz w:val="32"/>
          <w:szCs w:val="32"/>
          <w:highlight w:val="none"/>
        </w:rPr>
        <w:t>部门依法进行拆除。</w:t>
      </w:r>
    </w:p>
    <w:p w14:paraId="5B7669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7、</w:t>
      </w:r>
      <w:r>
        <w:rPr>
          <w:rFonts w:hint="eastAsia" w:ascii="Times New Roman" w:hAnsi="Times New Roman" w:eastAsia="方正仿宋_GBK" w:cs="方正仿宋_GBK"/>
          <w:color w:val="auto"/>
          <w:sz w:val="32"/>
          <w:szCs w:val="32"/>
          <w:highlight w:val="none"/>
        </w:rPr>
        <w:t>对房屋</w:t>
      </w:r>
      <w:r>
        <w:rPr>
          <w:rFonts w:hint="eastAsia" w:ascii="Times New Roman" w:hAnsi="Times New Roman" w:eastAsia="方正仿宋_GBK" w:cs="方正仿宋_GBK"/>
          <w:color w:val="auto"/>
          <w:sz w:val="32"/>
          <w:szCs w:val="32"/>
          <w:highlight w:val="none"/>
          <w:lang w:val="en-US" w:eastAsia="zh-CN"/>
        </w:rPr>
        <w:t>征收</w:t>
      </w:r>
      <w:r>
        <w:rPr>
          <w:rFonts w:hint="eastAsia" w:ascii="Times New Roman" w:hAnsi="Times New Roman" w:eastAsia="方正仿宋_GBK" w:cs="方正仿宋_GBK"/>
          <w:color w:val="auto"/>
          <w:sz w:val="32"/>
          <w:szCs w:val="32"/>
          <w:highlight w:val="none"/>
        </w:rPr>
        <w:t>范围确定后突击抢建的房屋一律不予补助。</w:t>
      </w:r>
    </w:p>
    <w:p w14:paraId="0514BE0C">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楷体_GBK" w:cs="方正楷体_GBK"/>
          <w:b/>
          <w:bCs/>
          <w:color w:val="auto"/>
          <w:sz w:val="32"/>
          <w:szCs w:val="32"/>
          <w:highlight w:val="none"/>
          <w:lang w:eastAsia="zh-CN"/>
        </w:rPr>
      </w:pPr>
      <w:r>
        <w:rPr>
          <w:rFonts w:hint="eastAsia" w:ascii="Times New Roman" w:hAnsi="Times New Roman" w:eastAsia="方正楷体_GBK" w:cs="方正楷体_GBK"/>
          <w:b/>
          <w:bCs/>
          <w:color w:val="auto"/>
          <w:sz w:val="32"/>
          <w:szCs w:val="32"/>
          <w:highlight w:val="none"/>
          <w:lang w:eastAsia="zh-CN"/>
        </w:rPr>
        <w:t>（</w:t>
      </w:r>
      <w:r>
        <w:rPr>
          <w:rFonts w:hint="eastAsia" w:ascii="Times New Roman" w:hAnsi="Times New Roman" w:eastAsia="方正楷体_GBK" w:cs="方正楷体_GBK"/>
          <w:b/>
          <w:bCs/>
          <w:color w:val="auto"/>
          <w:sz w:val="32"/>
          <w:szCs w:val="32"/>
          <w:highlight w:val="none"/>
          <w:lang w:val="en-US" w:eastAsia="zh-CN"/>
        </w:rPr>
        <w:t>六</w:t>
      </w:r>
      <w:r>
        <w:rPr>
          <w:rFonts w:hint="eastAsia" w:ascii="Times New Roman" w:hAnsi="Times New Roman" w:eastAsia="方正楷体_GBK" w:cs="方正楷体_GBK"/>
          <w:b/>
          <w:bCs/>
          <w:color w:val="auto"/>
          <w:sz w:val="32"/>
          <w:szCs w:val="32"/>
          <w:highlight w:val="none"/>
          <w:lang w:eastAsia="zh-CN"/>
        </w:rPr>
        <w:t>）征收最低补偿</w:t>
      </w:r>
    </w:p>
    <w:p w14:paraId="772A080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1、条件：征收个人住宅，被征收人在</w:t>
      </w:r>
      <w:r>
        <w:rPr>
          <w:rFonts w:hint="eastAsia" w:ascii="Times New Roman" w:hAnsi="Times New Roman" w:eastAsia="方正仿宋_GBK" w:cs="方正仿宋_GBK"/>
          <w:color w:val="auto"/>
          <w:sz w:val="32"/>
          <w:szCs w:val="32"/>
          <w:highlight w:val="none"/>
          <w:lang w:val="en-US" w:eastAsia="zh-CN"/>
        </w:rPr>
        <w:t>本县范围内</w:t>
      </w:r>
      <w:r>
        <w:rPr>
          <w:rFonts w:hint="eastAsia" w:ascii="Times New Roman" w:hAnsi="Times New Roman" w:eastAsia="方正仿宋_GBK" w:cs="方正仿宋_GBK"/>
          <w:color w:val="auto"/>
          <w:sz w:val="32"/>
          <w:szCs w:val="32"/>
          <w:highlight w:val="none"/>
        </w:rPr>
        <w:t>仅有被征收的一处住房，且获得的货币补偿金额（不含搬迁费、临时安置补偿费、奖励和补助）低于征收最低标准，经公示符合条件的，按最低补偿标准对被征收人给予补偿。</w:t>
      </w:r>
    </w:p>
    <w:p w14:paraId="209AF3B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2、对有下列情况之一的不执行最低补偿政策：</w:t>
      </w:r>
    </w:p>
    <w:p w14:paraId="2BBD995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(1)自2005年3月1日以后，因析产或交易行为导致单户房屋建筑面积低于30㎡，以及劈卖、析产后无墙界的房屋。</w:t>
      </w:r>
    </w:p>
    <w:p w14:paraId="2208207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(2)非征收范围内户口的被征收人。</w:t>
      </w:r>
    </w:p>
    <w:p w14:paraId="4151006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3、标准：房屋征收最低补偿标准为9万元或政府指定位置的50㎡左右的保障房。选择50㎡左右保障房的结算办法为：50㎡以内的补偿款与房款互为抵冲；最接近套型大于50㎡的，超出50㎡至最接近套型的面积部分按</w:t>
      </w:r>
      <w:r>
        <w:rPr>
          <w:rFonts w:hint="eastAsia" w:ascii="Times New Roman" w:hAnsi="Times New Roman" w:eastAsia="方正仿宋_GBK" w:cs="方正仿宋_GBK"/>
          <w:color w:val="auto"/>
          <w:sz w:val="32"/>
          <w:szCs w:val="32"/>
          <w:highlight w:val="none"/>
          <w:lang w:eastAsia="zh-CN"/>
        </w:rPr>
        <w:t>市场价</w:t>
      </w:r>
      <w:r>
        <w:rPr>
          <w:rFonts w:hint="eastAsia" w:ascii="Times New Roman" w:hAnsi="Times New Roman" w:eastAsia="方正仿宋_GBK" w:cs="方正仿宋_GBK"/>
          <w:color w:val="auto"/>
          <w:sz w:val="32"/>
          <w:szCs w:val="32"/>
          <w:highlight w:val="none"/>
        </w:rPr>
        <w:t>购买。</w:t>
      </w:r>
    </w:p>
    <w:p w14:paraId="6FE56E7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六、征收评估</w:t>
      </w:r>
    </w:p>
    <w:p w14:paraId="2193F2ED">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楷体_GBK" w:cs="方正楷体_GBK"/>
          <w:b/>
          <w:bCs/>
          <w:color w:val="auto"/>
          <w:sz w:val="32"/>
          <w:szCs w:val="32"/>
          <w:highlight w:val="none"/>
          <w:lang w:eastAsia="zh-CN"/>
        </w:rPr>
      </w:pPr>
      <w:r>
        <w:rPr>
          <w:rFonts w:hint="eastAsia" w:ascii="Times New Roman" w:hAnsi="Times New Roman" w:eastAsia="方正楷体_GBK" w:cs="方正楷体_GBK"/>
          <w:b/>
          <w:bCs/>
          <w:color w:val="auto"/>
          <w:sz w:val="32"/>
          <w:szCs w:val="32"/>
          <w:highlight w:val="none"/>
          <w:lang w:eastAsia="zh-CN"/>
        </w:rPr>
        <w:t>（</w:t>
      </w:r>
      <w:r>
        <w:rPr>
          <w:rFonts w:hint="eastAsia" w:ascii="Times New Roman" w:hAnsi="Times New Roman" w:eastAsia="方正楷体_GBK" w:cs="方正楷体_GBK"/>
          <w:b/>
          <w:bCs/>
          <w:color w:val="auto"/>
          <w:sz w:val="32"/>
          <w:szCs w:val="32"/>
          <w:highlight w:val="none"/>
          <w:lang w:val="en-US" w:eastAsia="zh-CN"/>
        </w:rPr>
        <w:t>一</w:t>
      </w:r>
      <w:r>
        <w:rPr>
          <w:rFonts w:hint="eastAsia" w:ascii="Times New Roman" w:hAnsi="Times New Roman" w:eastAsia="方正楷体_GBK" w:cs="方正楷体_GBK"/>
          <w:b/>
          <w:bCs/>
          <w:color w:val="auto"/>
          <w:sz w:val="32"/>
          <w:szCs w:val="32"/>
          <w:highlight w:val="none"/>
          <w:lang w:eastAsia="zh-CN"/>
        </w:rPr>
        <w:t>）评估机构选择</w:t>
      </w:r>
    </w:p>
    <w:p w14:paraId="3F7873A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房地产价格评估机构由被征收人在7个工作日内协商选定;协商不成的,房屋征收部门组织被征收人通过多数决定的方式确定,或采取摇号、抽签等随机选定方式依法确定。</w:t>
      </w:r>
    </w:p>
    <w:p w14:paraId="3A262A06">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楷体_GBK" w:cs="方正楷体_GBK"/>
          <w:b/>
          <w:bCs/>
          <w:color w:val="auto"/>
          <w:sz w:val="32"/>
          <w:szCs w:val="32"/>
          <w:highlight w:val="none"/>
          <w:lang w:eastAsia="zh-CN"/>
        </w:rPr>
      </w:pPr>
      <w:r>
        <w:rPr>
          <w:rFonts w:hint="eastAsia" w:ascii="Times New Roman" w:hAnsi="Times New Roman" w:eastAsia="方正楷体_GBK" w:cs="方正楷体_GBK"/>
          <w:b/>
          <w:bCs/>
          <w:color w:val="auto"/>
          <w:sz w:val="32"/>
          <w:szCs w:val="32"/>
          <w:highlight w:val="none"/>
          <w:lang w:eastAsia="zh-CN"/>
        </w:rPr>
        <w:t>（</w:t>
      </w:r>
      <w:r>
        <w:rPr>
          <w:rFonts w:hint="eastAsia" w:ascii="Times New Roman" w:hAnsi="Times New Roman" w:eastAsia="方正楷体_GBK" w:cs="方正楷体_GBK"/>
          <w:b/>
          <w:bCs/>
          <w:color w:val="auto"/>
          <w:sz w:val="32"/>
          <w:szCs w:val="32"/>
          <w:highlight w:val="none"/>
          <w:lang w:val="en-US" w:eastAsia="zh-CN"/>
        </w:rPr>
        <w:t>二</w:t>
      </w:r>
      <w:r>
        <w:rPr>
          <w:rFonts w:hint="eastAsia" w:ascii="Times New Roman" w:hAnsi="Times New Roman" w:eastAsia="方正楷体_GBK" w:cs="方正楷体_GBK"/>
          <w:b/>
          <w:bCs/>
          <w:color w:val="auto"/>
          <w:sz w:val="32"/>
          <w:szCs w:val="32"/>
          <w:highlight w:val="none"/>
          <w:lang w:eastAsia="zh-CN"/>
        </w:rPr>
        <w:t>）评估时点</w:t>
      </w:r>
    </w:p>
    <w:p w14:paraId="6666C56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被征收房屋评估时点为房屋征收决定公告之日。</w:t>
      </w:r>
    </w:p>
    <w:p w14:paraId="397C7F9A">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楷体_GBK" w:cs="方正楷体_GBK"/>
          <w:b/>
          <w:bCs/>
          <w:color w:val="auto"/>
          <w:sz w:val="32"/>
          <w:szCs w:val="32"/>
          <w:highlight w:val="none"/>
          <w:lang w:eastAsia="zh-CN"/>
        </w:rPr>
      </w:pPr>
      <w:r>
        <w:rPr>
          <w:rFonts w:hint="eastAsia" w:ascii="Times New Roman" w:hAnsi="Times New Roman" w:eastAsia="方正楷体_GBK" w:cs="方正楷体_GBK"/>
          <w:b/>
          <w:bCs/>
          <w:color w:val="auto"/>
          <w:sz w:val="32"/>
          <w:szCs w:val="32"/>
          <w:highlight w:val="none"/>
          <w:lang w:eastAsia="zh-CN"/>
        </w:rPr>
        <w:t>（</w:t>
      </w:r>
      <w:r>
        <w:rPr>
          <w:rFonts w:hint="eastAsia" w:ascii="Times New Roman" w:hAnsi="Times New Roman" w:eastAsia="方正楷体_GBK" w:cs="方正楷体_GBK"/>
          <w:b/>
          <w:bCs/>
          <w:color w:val="auto"/>
          <w:sz w:val="32"/>
          <w:szCs w:val="32"/>
          <w:highlight w:val="none"/>
          <w:lang w:val="en-US" w:eastAsia="zh-CN"/>
        </w:rPr>
        <w:t>三</w:t>
      </w:r>
      <w:r>
        <w:rPr>
          <w:rFonts w:hint="eastAsia" w:ascii="Times New Roman" w:hAnsi="Times New Roman" w:eastAsia="方正楷体_GBK" w:cs="方正楷体_GBK"/>
          <w:b/>
          <w:bCs/>
          <w:color w:val="auto"/>
          <w:sz w:val="32"/>
          <w:szCs w:val="32"/>
          <w:highlight w:val="none"/>
          <w:lang w:eastAsia="zh-CN"/>
        </w:rPr>
        <w:t>）评估范围</w:t>
      </w:r>
    </w:p>
    <w:p w14:paraId="54383B2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被征收房屋价值、被征收房屋室内装饰装修价值</w:t>
      </w:r>
      <w:r>
        <w:rPr>
          <w:rFonts w:hint="eastAsia" w:ascii="Times New Roman" w:hAnsi="Times New Roman" w:eastAsia="方正仿宋_GBK" w:cs="方正仿宋_GBK"/>
          <w:color w:val="auto"/>
          <w:sz w:val="32"/>
          <w:szCs w:val="32"/>
          <w:highlight w:val="none"/>
          <w:lang w:eastAsia="zh-CN"/>
        </w:rPr>
        <w:t>、</w:t>
      </w:r>
      <w:r>
        <w:rPr>
          <w:rFonts w:hint="eastAsia" w:ascii="Times New Roman" w:hAnsi="Times New Roman" w:eastAsia="方正仿宋_GBK" w:cs="方正仿宋_GBK"/>
          <w:color w:val="auto"/>
          <w:sz w:val="32"/>
          <w:szCs w:val="32"/>
          <w:highlight w:val="none"/>
          <w:lang w:val="en-US" w:eastAsia="zh-CN"/>
        </w:rPr>
        <w:t>安置房价值</w:t>
      </w:r>
      <w:r>
        <w:rPr>
          <w:rFonts w:hint="eastAsia" w:ascii="Times New Roman" w:hAnsi="Times New Roman" w:eastAsia="方正仿宋_GBK" w:cs="方正仿宋_GBK"/>
          <w:color w:val="auto"/>
          <w:sz w:val="32"/>
          <w:szCs w:val="32"/>
          <w:highlight w:val="none"/>
        </w:rPr>
        <w:t>,机器设备、物资等搬迁费用,以及停产停业损失等补偿。</w:t>
      </w:r>
    </w:p>
    <w:p w14:paraId="70A8ADFC">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楷体_GBK" w:cs="方正楷体_GBK"/>
          <w:b/>
          <w:bCs/>
          <w:color w:val="auto"/>
          <w:sz w:val="32"/>
          <w:szCs w:val="32"/>
          <w:highlight w:val="none"/>
          <w:lang w:eastAsia="zh-CN"/>
        </w:rPr>
      </w:pPr>
      <w:r>
        <w:rPr>
          <w:rFonts w:hint="eastAsia" w:ascii="Times New Roman" w:hAnsi="Times New Roman" w:eastAsia="方正楷体_GBK" w:cs="方正楷体_GBK"/>
          <w:b/>
          <w:bCs/>
          <w:color w:val="auto"/>
          <w:sz w:val="32"/>
          <w:szCs w:val="32"/>
          <w:highlight w:val="none"/>
          <w:lang w:eastAsia="zh-CN"/>
        </w:rPr>
        <w:t>（</w:t>
      </w:r>
      <w:r>
        <w:rPr>
          <w:rFonts w:hint="eastAsia" w:ascii="Times New Roman" w:hAnsi="Times New Roman" w:eastAsia="方正楷体_GBK" w:cs="方正楷体_GBK"/>
          <w:b/>
          <w:bCs/>
          <w:color w:val="auto"/>
          <w:sz w:val="32"/>
          <w:szCs w:val="32"/>
          <w:highlight w:val="none"/>
          <w:lang w:val="en-US" w:eastAsia="zh-CN"/>
        </w:rPr>
        <w:t>四</w:t>
      </w:r>
      <w:r>
        <w:rPr>
          <w:rFonts w:hint="eastAsia" w:ascii="Times New Roman" w:hAnsi="Times New Roman" w:eastAsia="方正楷体_GBK" w:cs="方正楷体_GBK"/>
          <w:b/>
          <w:bCs/>
          <w:color w:val="auto"/>
          <w:sz w:val="32"/>
          <w:szCs w:val="32"/>
          <w:highlight w:val="none"/>
          <w:lang w:eastAsia="zh-CN"/>
        </w:rPr>
        <w:t>）评估结果</w:t>
      </w:r>
    </w:p>
    <w:p w14:paraId="7C59AD0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房地产估价机构向房屋征收部门提供分户的初步评估结果,房屋征收部门在房屋征收范围内向被征收人公示,公示期间,由房地产估价机构进行说明解释,对初步评估结果存在错误的,应当进行修正。</w:t>
      </w:r>
    </w:p>
    <w:p w14:paraId="756B5B9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分户初步评估结果公示期满后,房地产估价机构向房屋征收部门提供委托评估范围内被征收房屋的整体评估报告和分户评估报告,由房屋征收部门向被征收人转交分户评估报告。</w:t>
      </w:r>
    </w:p>
    <w:p w14:paraId="5D8C8938">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楷体_GBK" w:cs="方正楷体_GBK"/>
          <w:b/>
          <w:bCs/>
          <w:color w:val="auto"/>
          <w:sz w:val="32"/>
          <w:szCs w:val="32"/>
          <w:highlight w:val="none"/>
          <w:lang w:eastAsia="zh-CN"/>
        </w:rPr>
      </w:pPr>
      <w:r>
        <w:rPr>
          <w:rFonts w:hint="eastAsia" w:ascii="Times New Roman" w:hAnsi="Times New Roman" w:eastAsia="方正楷体_GBK" w:cs="方正楷体_GBK"/>
          <w:b/>
          <w:bCs/>
          <w:color w:val="auto"/>
          <w:sz w:val="32"/>
          <w:szCs w:val="32"/>
          <w:highlight w:val="none"/>
          <w:lang w:eastAsia="zh-CN"/>
        </w:rPr>
        <w:t>（</w:t>
      </w:r>
      <w:r>
        <w:rPr>
          <w:rFonts w:hint="eastAsia" w:ascii="Times New Roman" w:hAnsi="Times New Roman" w:eastAsia="方正楷体_GBK" w:cs="方正楷体_GBK"/>
          <w:b/>
          <w:bCs/>
          <w:color w:val="auto"/>
          <w:sz w:val="32"/>
          <w:szCs w:val="32"/>
          <w:highlight w:val="none"/>
          <w:lang w:val="en-US" w:eastAsia="zh-CN"/>
        </w:rPr>
        <w:t>五</w:t>
      </w:r>
      <w:r>
        <w:rPr>
          <w:rFonts w:hint="eastAsia" w:ascii="Times New Roman" w:hAnsi="Times New Roman" w:eastAsia="方正楷体_GBK" w:cs="方正楷体_GBK"/>
          <w:b/>
          <w:bCs/>
          <w:color w:val="auto"/>
          <w:sz w:val="32"/>
          <w:szCs w:val="32"/>
          <w:highlight w:val="none"/>
          <w:lang w:eastAsia="zh-CN"/>
        </w:rPr>
        <w:t>）评估结果异议处理</w:t>
      </w:r>
    </w:p>
    <w:p w14:paraId="79ED907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征收部门或者被征收人对评估结果有异议的,应当自收到评估报告之日起10日内,向原评估机构书面申请复核评估。评估机构应当自收到书面复核评估申请之日起10日内给予答复。估价结果改变的,应当重新出具评估报告;评估结果没有改变的,应当书面告知复核评估申请人。</w:t>
      </w:r>
    </w:p>
    <w:p w14:paraId="55FFF49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征收部门或者被征收人对评估机构的复核结果有异议的,应当自收到复核结果之日起10日内,向被征收房屋所在地房地产价格评估专家委员会申请鉴定。房地产价格评估专家委员会应当自收到申请之日起10日内,对申请鉴定的评估报告进行鉴定,并出具书面鉴定意见。</w:t>
      </w:r>
    </w:p>
    <w:p w14:paraId="6D2651B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房地产价格评估专家委员会应当就评估报告的评估依据、评估技术路线、评估方法选用、参数选取、评估结果确定方式等评估技术问题进行鉴定,作出鉴定意见。评估报告不存在技术问题的,应维持评估报告,鉴定费用由申请人承担;评估报告存在技术问题的,评估机构应当改正错误,重新出具评估报告,鉴定费用由评估机构承担。</w:t>
      </w:r>
    </w:p>
    <w:p w14:paraId="541FE9B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七、补偿协议</w:t>
      </w:r>
    </w:p>
    <w:p w14:paraId="0E72588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房屋征收部门与被征收人就补偿方式、补偿金额和支付期限、用于产权调换房屋的地点和面积、搬迁费、临时安置费或者周转用房、停产停业损失、搬迁期限、过渡方式和过渡期限等事项,订立补偿协议。</w:t>
      </w:r>
    </w:p>
    <w:p w14:paraId="171DED8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补偿协议订立后,当事人应当按协议约定履行应尽义务,一方当事人不履行补偿协议约定义务的,另一方当事人可以依法提起诉讼。</w:t>
      </w:r>
    </w:p>
    <w:p w14:paraId="463FB3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被征收人在协议约定的搬迁期限内拒绝搬</w:t>
      </w:r>
      <w:r>
        <w:rPr>
          <w:rFonts w:hint="eastAsia" w:ascii="Times New Roman" w:hAnsi="Times New Roman" w:eastAsia="方正仿宋_GBK" w:cs="方正仿宋_GBK"/>
          <w:color w:val="auto"/>
          <w:sz w:val="32"/>
          <w:szCs w:val="32"/>
          <w:highlight w:val="none"/>
          <w:lang w:val="en-US" w:eastAsia="zh-CN"/>
        </w:rPr>
        <w:t>家</w:t>
      </w:r>
      <w:r>
        <w:rPr>
          <w:rFonts w:hint="eastAsia" w:ascii="Times New Roman" w:hAnsi="Times New Roman" w:eastAsia="方正仿宋_GBK" w:cs="方正仿宋_GBK"/>
          <w:color w:val="auto"/>
          <w:sz w:val="32"/>
          <w:szCs w:val="32"/>
          <w:highlight w:val="none"/>
        </w:rPr>
        <w:t>让房的,应当在协议确定的</w:t>
      </w:r>
      <w:r>
        <w:rPr>
          <w:rFonts w:hint="eastAsia" w:ascii="Times New Roman" w:hAnsi="Times New Roman" w:eastAsia="方正仿宋_GBK" w:cs="方正仿宋_GBK"/>
          <w:color w:val="auto"/>
          <w:sz w:val="32"/>
          <w:szCs w:val="32"/>
          <w:highlight w:val="none"/>
          <w:lang w:val="en-US" w:eastAsia="zh-CN"/>
        </w:rPr>
        <w:t>总</w:t>
      </w:r>
      <w:r>
        <w:rPr>
          <w:rFonts w:hint="eastAsia" w:ascii="Times New Roman" w:hAnsi="Times New Roman" w:eastAsia="方正仿宋_GBK" w:cs="方正仿宋_GBK"/>
          <w:color w:val="auto"/>
          <w:sz w:val="32"/>
          <w:szCs w:val="32"/>
          <w:highlight w:val="none"/>
        </w:rPr>
        <w:t>补偿金额中扣除奖励金额。</w:t>
      </w:r>
    </w:p>
    <w:p w14:paraId="11ED37D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八、补偿决定</w:t>
      </w:r>
    </w:p>
    <w:p w14:paraId="263AC5F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房屋征收部门与被征收人在征收补偿方案确定的签约期限内达不成补偿协议,或者被征收房屋所有权人不明确的,由房屋征收部门报请</w:t>
      </w:r>
      <w:r>
        <w:rPr>
          <w:rFonts w:hint="eastAsia" w:ascii="Times New Roman" w:hAnsi="Times New Roman" w:eastAsia="方正仿宋_GBK" w:cs="方正仿宋_GBK"/>
          <w:color w:val="auto"/>
          <w:sz w:val="32"/>
          <w:szCs w:val="32"/>
          <w:highlight w:val="none"/>
          <w:lang w:val="en-US" w:eastAsia="zh-CN"/>
        </w:rPr>
        <w:t>县</w:t>
      </w:r>
      <w:r>
        <w:rPr>
          <w:rFonts w:hint="eastAsia" w:ascii="Times New Roman" w:hAnsi="Times New Roman" w:eastAsia="方正仿宋_GBK" w:cs="方正仿宋_GBK"/>
          <w:color w:val="auto"/>
          <w:sz w:val="32"/>
          <w:szCs w:val="32"/>
          <w:highlight w:val="none"/>
        </w:rPr>
        <w:t>人民政府作出补偿决定,并在房屋征收范围内予以公告。被征收人对</w:t>
      </w:r>
      <w:r>
        <w:rPr>
          <w:rFonts w:hint="eastAsia" w:ascii="Times New Roman" w:hAnsi="Times New Roman" w:eastAsia="方正仿宋_GBK" w:cs="方正仿宋_GBK"/>
          <w:color w:val="auto"/>
          <w:sz w:val="32"/>
          <w:szCs w:val="32"/>
          <w:highlight w:val="none"/>
          <w:lang w:val="en-US" w:eastAsia="zh-CN"/>
        </w:rPr>
        <w:t>征收</w:t>
      </w:r>
      <w:r>
        <w:rPr>
          <w:rFonts w:hint="eastAsia" w:ascii="Times New Roman" w:hAnsi="Times New Roman" w:eastAsia="方正仿宋_GBK" w:cs="方正仿宋_GBK"/>
          <w:color w:val="auto"/>
          <w:sz w:val="32"/>
          <w:szCs w:val="32"/>
          <w:highlight w:val="none"/>
        </w:rPr>
        <w:t>补偿决定不服的,可以依法申请行政复议,也可以依法提起行政诉讼。</w:t>
      </w:r>
    </w:p>
    <w:p w14:paraId="2A27083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auto"/>
          <w:sz w:val="32"/>
          <w:szCs w:val="32"/>
          <w:highlight w:val="none"/>
        </w:rPr>
      </w:pPr>
      <w:r>
        <w:rPr>
          <w:rFonts w:hint="eastAsia" w:ascii="Times New Roman" w:hAnsi="Times New Roman" w:eastAsia="方正黑体_GBK" w:cs="方正黑体_GBK"/>
          <w:color w:val="auto"/>
          <w:sz w:val="32"/>
          <w:szCs w:val="32"/>
          <w:highlight w:val="none"/>
        </w:rPr>
        <w:t>九、强制执行</w:t>
      </w:r>
    </w:p>
    <w:p w14:paraId="3ABF599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征收补偿协议订立后,一方当事人不履行协议约定的,另一方当事人可依法提起诉讼,并申请人民法院强制执行。征收补偿决定作出后,被征收人在法定期限内不申请行政复议或者不提起行政诉讼,在补偿决定规定的期限内又不搬迁的,由</w:t>
      </w:r>
      <w:r>
        <w:rPr>
          <w:rFonts w:hint="eastAsia" w:ascii="Times New Roman" w:hAnsi="Times New Roman" w:eastAsia="方正仿宋_GBK" w:cs="方正仿宋_GBK"/>
          <w:color w:val="auto"/>
          <w:sz w:val="32"/>
          <w:szCs w:val="32"/>
          <w:highlight w:val="none"/>
          <w:lang w:val="en-US" w:eastAsia="zh-CN"/>
        </w:rPr>
        <w:t>县</w:t>
      </w:r>
      <w:r>
        <w:rPr>
          <w:rFonts w:hint="eastAsia" w:ascii="Times New Roman" w:hAnsi="Times New Roman" w:eastAsia="方正仿宋_GBK" w:cs="方正仿宋_GBK"/>
          <w:color w:val="auto"/>
          <w:sz w:val="32"/>
          <w:szCs w:val="32"/>
          <w:highlight w:val="none"/>
        </w:rPr>
        <w:t>人民政府依法申请人民法院强制执行。</w:t>
      </w:r>
    </w:p>
    <w:p w14:paraId="72DE637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黑体_GBK" w:cs="方正黑体_GBK"/>
          <w:color w:val="auto"/>
          <w:sz w:val="32"/>
          <w:szCs w:val="32"/>
          <w:highlight w:val="none"/>
          <w:lang w:eastAsia="zh-CN"/>
        </w:rPr>
      </w:pPr>
      <w:r>
        <w:rPr>
          <w:rFonts w:hint="eastAsia" w:ascii="Times New Roman" w:hAnsi="Times New Roman" w:eastAsia="方正黑体_GBK" w:cs="方正黑体_GBK"/>
          <w:color w:val="auto"/>
          <w:sz w:val="32"/>
          <w:szCs w:val="32"/>
          <w:highlight w:val="none"/>
        </w:rPr>
        <w:t>十、其它</w:t>
      </w:r>
      <w:r>
        <w:rPr>
          <w:rFonts w:hint="eastAsia" w:ascii="Times New Roman" w:hAnsi="Times New Roman" w:eastAsia="方正黑体_GBK" w:cs="方正黑体_GBK"/>
          <w:color w:val="auto"/>
          <w:sz w:val="32"/>
          <w:szCs w:val="32"/>
          <w:highlight w:val="none"/>
          <w:lang w:val="en-US" w:eastAsia="zh-CN"/>
        </w:rPr>
        <w:t>事项</w:t>
      </w:r>
    </w:p>
    <w:p w14:paraId="618837BA">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被征收人应当在补偿协议约定或者征收补偿决定确定的搬迁期限内完成搬迁。任何单位和个人不得采取暴力、威胁或者违反规定中断供水、供热、供气、供电和道路通行等非法方式迫使被征收人搬迁。</w:t>
      </w:r>
    </w:p>
    <w:p w14:paraId="0108F1EB">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被征收人须保持旧房完好,房屋门窗、装饰装潢、附属物等已补偿的项目不得私自拆除,涉及专业部门拆除的水、电、燃气等在结清水费、电费和燃气等费用后,由专业部门负责拆除。擅自拆除造成损失的，在补偿费中予以扣除。</w:t>
      </w:r>
    </w:p>
    <w:p w14:paraId="02FA800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征收实施单位和拆除施工单位应遵守《文物保护法》、《安全生产法》、《环境保护法》等相关法律法规，并接受有关行政执法部门监督。</w:t>
      </w:r>
    </w:p>
    <w:p w14:paraId="0C2766D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t>本方案未尽事宜以现行国有土地上房屋征收的法规、政策及文件规定为准。</w:t>
      </w:r>
    </w:p>
    <w:p w14:paraId="3781C865">
      <w:pPr>
        <w:pStyle w:val="2"/>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方正仿宋_GBK" w:cs="方正仿宋_GBK"/>
          <w:b/>
          <w:bCs/>
          <w:color w:val="auto"/>
          <w:sz w:val="32"/>
          <w:szCs w:val="32"/>
          <w:highlight w:val="none"/>
        </w:rPr>
      </w:pPr>
    </w:p>
    <w:p w14:paraId="2712E30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b w:val="0"/>
          <w:bCs w:val="0"/>
          <w:color w:val="auto"/>
          <w:spacing w:val="-10"/>
          <w:sz w:val="32"/>
          <w:szCs w:val="32"/>
          <w:highlight w:val="none"/>
        </w:rPr>
      </w:pPr>
      <w:r>
        <w:rPr>
          <w:rFonts w:hint="eastAsia" w:ascii="Times New Roman" w:hAnsi="Times New Roman" w:eastAsia="方正仿宋_GBK" w:cs="方正仿宋_GBK"/>
          <w:b w:val="0"/>
          <w:bCs w:val="0"/>
          <w:color w:val="auto"/>
          <w:sz w:val="32"/>
          <w:szCs w:val="32"/>
          <w:highlight w:val="none"/>
        </w:rPr>
        <w:t>附件：</w:t>
      </w:r>
      <w:r>
        <w:rPr>
          <w:rFonts w:hint="eastAsia" w:ascii="Times New Roman" w:hAnsi="Times New Roman" w:eastAsia="方正仿宋_GBK" w:cs="方正仿宋_GBK"/>
          <w:b w:val="0"/>
          <w:bCs w:val="0"/>
          <w:color w:val="auto"/>
          <w:spacing w:val="0"/>
          <w:sz w:val="32"/>
          <w:szCs w:val="32"/>
          <w:highlight w:val="none"/>
        </w:rPr>
        <w:t>滨海县房屋征收重大疾病和低保对象补助标准</w:t>
      </w:r>
    </w:p>
    <w:p w14:paraId="3F07CD7F">
      <w:pPr>
        <w:pStyle w:val="2"/>
        <w:keepNext w:val="0"/>
        <w:keepLines w:val="0"/>
        <w:pageBreakBefore w:val="0"/>
        <w:kinsoku/>
        <w:wordWrap/>
        <w:overflowPunct/>
        <w:topLinePunct w:val="0"/>
        <w:autoSpaceDE/>
        <w:autoSpaceDN/>
        <w:bidi w:val="0"/>
        <w:adjustRightInd/>
        <w:snapToGrid/>
        <w:spacing w:line="560" w:lineRule="exact"/>
        <w:ind w:firstLine="6080" w:firstLineChars="1900"/>
        <w:textAlignment w:val="auto"/>
        <w:rPr>
          <w:rFonts w:hint="eastAsia" w:ascii="Times New Roman" w:hAnsi="Times New Roman" w:eastAsia="方正仿宋_GBK" w:cs="方正仿宋_GBK"/>
          <w:color w:val="auto"/>
          <w:sz w:val="32"/>
          <w:szCs w:val="32"/>
          <w:highlight w:val="none"/>
        </w:rPr>
      </w:pPr>
    </w:p>
    <w:p w14:paraId="1F92906A">
      <w:pPr>
        <w:pStyle w:val="2"/>
        <w:keepNext w:val="0"/>
        <w:keepLines w:val="0"/>
        <w:pageBreakBefore w:val="0"/>
        <w:kinsoku/>
        <w:wordWrap/>
        <w:overflowPunct/>
        <w:topLinePunct w:val="0"/>
        <w:autoSpaceDE/>
        <w:autoSpaceDN/>
        <w:bidi w:val="0"/>
        <w:adjustRightInd/>
        <w:snapToGrid/>
        <w:spacing w:line="560" w:lineRule="exact"/>
        <w:textAlignment w:val="auto"/>
        <w:rPr>
          <w:rFonts w:hint="eastAsia" w:ascii="Times New Roman" w:hAnsi="Times New Roman" w:eastAsia="方正仿宋_GBK" w:cs="方正仿宋_GBK"/>
          <w:color w:val="auto"/>
          <w:sz w:val="32"/>
          <w:szCs w:val="32"/>
          <w:highlight w:val="none"/>
        </w:rPr>
      </w:pPr>
    </w:p>
    <w:p w14:paraId="5B1F2BA3">
      <w:pPr>
        <w:pStyle w:val="2"/>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lang w:val="en-US" w:eastAsia="zh-CN"/>
        </w:rPr>
        <w:t>2025</w:t>
      </w:r>
      <w:r>
        <w:rPr>
          <w:rFonts w:hint="eastAsia" w:ascii="Times New Roman" w:hAnsi="Times New Roman" w:eastAsia="方正仿宋_GBK" w:cs="方正仿宋_GBK"/>
          <w:color w:val="auto"/>
          <w:sz w:val="32"/>
          <w:szCs w:val="32"/>
          <w:highlight w:val="none"/>
        </w:rPr>
        <w:t>年</w:t>
      </w:r>
      <w:r>
        <w:rPr>
          <w:rFonts w:hint="eastAsia" w:ascii="Times New Roman" w:hAnsi="Times New Roman" w:eastAsia="方正仿宋_GBK" w:cs="方正仿宋_GBK"/>
          <w:color w:val="auto"/>
          <w:sz w:val="32"/>
          <w:szCs w:val="32"/>
          <w:highlight w:val="none"/>
          <w:lang w:val="en-US" w:eastAsia="zh-CN"/>
        </w:rPr>
        <w:t>6</w:t>
      </w:r>
      <w:r>
        <w:rPr>
          <w:rFonts w:hint="eastAsia" w:ascii="Times New Roman" w:hAnsi="Times New Roman" w:eastAsia="方正仿宋_GBK" w:cs="方正仿宋_GBK"/>
          <w:color w:val="auto"/>
          <w:sz w:val="32"/>
          <w:szCs w:val="32"/>
          <w:highlight w:val="none"/>
        </w:rPr>
        <w:t>月</w:t>
      </w:r>
      <w:r>
        <w:rPr>
          <w:rFonts w:hint="eastAsia" w:ascii="Times New Roman" w:hAnsi="Times New Roman" w:eastAsia="方正仿宋_GBK" w:cs="方正仿宋_GBK"/>
          <w:color w:val="auto"/>
          <w:sz w:val="32"/>
          <w:szCs w:val="32"/>
          <w:highlight w:val="none"/>
          <w:lang w:val="en-US" w:eastAsia="zh-CN"/>
        </w:rPr>
        <w:t>4</w:t>
      </w:r>
      <w:r>
        <w:rPr>
          <w:rFonts w:hint="eastAsia" w:ascii="Times New Roman" w:hAnsi="Times New Roman" w:eastAsia="方正仿宋_GBK" w:cs="方正仿宋_GBK"/>
          <w:color w:val="auto"/>
          <w:sz w:val="32"/>
          <w:szCs w:val="32"/>
          <w:highlight w:val="none"/>
        </w:rPr>
        <w:t>日</w:t>
      </w:r>
    </w:p>
    <w:p w14:paraId="1C767365">
      <w:pPr>
        <w:spacing w:line="560" w:lineRule="exact"/>
        <w:ind w:right="640"/>
        <w:rPr>
          <w:rFonts w:hint="eastAsia" w:ascii="Times New Roman" w:hAnsi="Times New Roman" w:eastAsia="方正仿宋_GBK" w:cs="方正仿宋_GBK"/>
          <w:color w:val="auto"/>
          <w:sz w:val="32"/>
          <w:szCs w:val="32"/>
          <w:highlight w:val="none"/>
        </w:rPr>
      </w:pPr>
      <w:r>
        <w:rPr>
          <w:rFonts w:hint="eastAsia" w:ascii="Times New Roman" w:hAnsi="Times New Roman" w:eastAsia="方正仿宋_GBK" w:cs="方正仿宋_GBK"/>
          <w:color w:val="auto"/>
          <w:sz w:val="32"/>
          <w:szCs w:val="32"/>
          <w:highlight w:val="none"/>
        </w:rPr>
        <w:br w:type="page"/>
      </w:r>
    </w:p>
    <w:p w14:paraId="25D3EF4E">
      <w:pPr>
        <w:spacing w:line="530" w:lineRule="exact"/>
        <w:ind w:right="640"/>
        <w:rPr>
          <w:rFonts w:hint="eastAsia" w:ascii="方正黑体_GBK" w:hAnsi="方正黑体_GBK" w:eastAsia="方正黑体_GBK" w:cs="方正黑体_GBK"/>
          <w:b w:val="0"/>
          <w:bCs w:val="0"/>
          <w:color w:val="auto"/>
          <w:sz w:val="32"/>
          <w:szCs w:val="32"/>
          <w:highlight w:val="none"/>
          <w:lang w:val="en-US" w:eastAsia="zh-CN"/>
        </w:rPr>
      </w:pPr>
      <w:r>
        <w:rPr>
          <w:rFonts w:hint="eastAsia" w:ascii="方正黑体_GBK" w:hAnsi="方正黑体_GBK" w:eastAsia="方正黑体_GBK" w:cs="方正黑体_GBK"/>
          <w:b w:val="0"/>
          <w:bCs w:val="0"/>
          <w:color w:val="auto"/>
          <w:sz w:val="32"/>
          <w:szCs w:val="32"/>
          <w:highlight w:val="none"/>
        </w:rPr>
        <w:t>附</w:t>
      </w:r>
      <w:r>
        <w:rPr>
          <w:rFonts w:hint="eastAsia" w:ascii="方正黑体_GBK" w:hAnsi="方正黑体_GBK" w:eastAsia="方正黑体_GBK" w:cs="方正黑体_GBK"/>
          <w:b w:val="0"/>
          <w:bCs w:val="0"/>
          <w:color w:val="auto"/>
          <w:sz w:val="32"/>
          <w:szCs w:val="32"/>
          <w:highlight w:val="none"/>
          <w:lang w:val="en-US" w:eastAsia="zh-CN"/>
        </w:rPr>
        <w:t>件</w:t>
      </w:r>
    </w:p>
    <w:p w14:paraId="2932772C">
      <w:pPr>
        <w:spacing w:before="240" w:line="560" w:lineRule="exact"/>
        <w:jc w:val="center"/>
        <w:rPr>
          <w:rFonts w:hint="eastAsia" w:ascii="方正小标宋_GBK" w:hAnsi="方正小标宋_GBK" w:eastAsia="方正小标宋_GBK" w:cs="方正小标宋_GBK"/>
          <w:b w:val="0"/>
          <w:bCs w:val="0"/>
          <w:color w:val="auto"/>
          <w:sz w:val="36"/>
          <w:szCs w:val="36"/>
          <w:highlight w:val="none"/>
        </w:rPr>
      </w:pPr>
      <w:r>
        <w:rPr>
          <w:rFonts w:hint="eastAsia" w:ascii="方正小标宋_GBK" w:hAnsi="方正小标宋_GBK" w:eastAsia="方正小标宋_GBK" w:cs="方正小标宋_GBK"/>
          <w:b w:val="0"/>
          <w:bCs w:val="0"/>
          <w:color w:val="auto"/>
          <w:sz w:val="36"/>
          <w:szCs w:val="36"/>
          <w:highlight w:val="none"/>
        </w:rPr>
        <w:t>滨海县房屋</w:t>
      </w:r>
      <w:r>
        <w:rPr>
          <w:rFonts w:hint="eastAsia" w:ascii="方正小标宋_GBK" w:hAnsi="方正小标宋_GBK" w:eastAsia="方正小标宋_GBK" w:cs="方正小标宋_GBK"/>
          <w:b w:val="0"/>
          <w:bCs w:val="0"/>
          <w:color w:val="auto"/>
          <w:sz w:val="36"/>
          <w:szCs w:val="36"/>
          <w:highlight w:val="none"/>
          <w:lang w:eastAsia="zh-CN"/>
        </w:rPr>
        <w:t>征收</w:t>
      </w:r>
      <w:r>
        <w:rPr>
          <w:rFonts w:hint="eastAsia" w:ascii="方正小标宋_GBK" w:hAnsi="方正小标宋_GBK" w:eastAsia="方正小标宋_GBK" w:cs="方正小标宋_GBK"/>
          <w:b w:val="0"/>
          <w:bCs w:val="0"/>
          <w:color w:val="auto"/>
          <w:sz w:val="36"/>
          <w:szCs w:val="36"/>
          <w:highlight w:val="none"/>
        </w:rPr>
        <w:t>重大疾病和低保对象补助标准</w:t>
      </w:r>
    </w:p>
    <w:p w14:paraId="21121F59">
      <w:pPr>
        <w:spacing w:line="560" w:lineRule="exact"/>
        <w:ind w:firstLine="720" w:firstLineChars="200"/>
        <w:jc w:val="center"/>
        <w:rPr>
          <w:rFonts w:ascii="Times New Roman" w:hAnsi="Times New Roman" w:cs="宋体"/>
          <w:color w:val="auto"/>
          <w:sz w:val="36"/>
          <w:szCs w:val="36"/>
          <w:highlight w:val="none"/>
        </w:rPr>
      </w:pPr>
    </w:p>
    <w:tbl>
      <w:tblPr>
        <w:tblStyle w:val="5"/>
        <w:tblW w:w="86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1950"/>
        <w:gridCol w:w="1802"/>
        <w:gridCol w:w="3287"/>
      </w:tblGrid>
      <w:tr w14:paraId="01454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3532" w:type="dxa"/>
            <w:gridSpan w:val="2"/>
            <w:vAlign w:val="center"/>
          </w:tcPr>
          <w:p w14:paraId="70F9B408">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补助类别</w:t>
            </w:r>
          </w:p>
        </w:tc>
        <w:tc>
          <w:tcPr>
            <w:tcW w:w="1802" w:type="dxa"/>
            <w:vAlign w:val="center"/>
          </w:tcPr>
          <w:p w14:paraId="52182A1E">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补助金额</w:t>
            </w:r>
          </w:p>
          <w:p w14:paraId="32CF0CB5">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（万元/人）</w:t>
            </w:r>
          </w:p>
        </w:tc>
        <w:tc>
          <w:tcPr>
            <w:tcW w:w="3287" w:type="dxa"/>
            <w:vAlign w:val="center"/>
          </w:tcPr>
          <w:p w14:paraId="007918C9">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备   注</w:t>
            </w:r>
          </w:p>
        </w:tc>
      </w:tr>
      <w:tr w14:paraId="5D526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582" w:type="dxa"/>
            <w:vMerge w:val="restart"/>
            <w:vAlign w:val="center"/>
          </w:tcPr>
          <w:p w14:paraId="0CB3B089">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疾病</w:t>
            </w:r>
          </w:p>
        </w:tc>
        <w:tc>
          <w:tcPr>
            <w:tcW w:w="1950" w:type="dxa"/>
            <w:vAlign w:val="center"/>
          </w:tcPr>
          <w:p w14:paraId="08619B3D">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重大疾病</w:t>
            </w:r>
          </w:p>
        </w:tc>
        <w:tc>
          <w:tcPr>
            <w:tcW w:w="1802" w:type="dxa"/>
            <w:vAlign w:val="center"/>
          </w:tcPr>
          <w:p w14:paraId="66F41687">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0.8</w:t>
            </w:r>
          </w:p>
        </w:tc>
        <w:tc>
          <w:tcPr>
            <w:tcW w:w="3287" w:type="dxa"/>
            <w:vAlign w:val="center"/>
          </w:tcPr>
          <w:p w14:paraId="6D201737">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包括：癌症、白血病、尿毒症、系统性红斑狼疮、重大器官移植</w:t>
            </w:r>
          </w:p>
        </w:tc>
      </w:tr>
      <w:tr w14:paraId="1C1BE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582" w:type="dxa"/>
            <w:vMerge w:val="continue"/>
            <w:vAlign w:val="center"/>
          </w:tcPr>
          <w:p w14:paraId="4C99521E">
            <w:pPr>
              <w:spacing w:line="360" w:lineRule="exact"/>
              <w:jc w:val="center"/>
              <w:rPr>
                <w:rFonts w:ascii="Times New Roman" w:hAnsi="Times New Roman" w:cs="宋体"/>
                <w:color w:val="auto"/>
                <w:sz w:val="22"/>
                <w:szCs w:val="22"/>
                <w:highlight w:val="none"/>
              </w:rPr>
            </w:pPr>
          </w:p>
        </w:tc>
        <w:tc>
          <w:tcPr>
            <w:tcW w:w="1950" w:type="dxa"/>
            <w:vAlign w:val="center"/>
          </w:tcPr>
          <w:p w14:paraId="327839D1">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其他类</w:t>
            </w:r>
          </w:p>
          <w:p w14:paraId="15D76560">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疾病</w:t>
            </w:r>
          </w:p>
        </w:tc>
        <w:tc>
          <w:tcPr>
            <w:tcW w:w="1802" w:type="dxa"/>
            <w:vAlign w:val="center"/>
          </w:tcPr>
          <w:p w14:paraId="41A4DD92">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0.4</w:t>
            </w:r>
          </w:p>
        </w:tc>
        <w:tc>
          <w:tcPr>
            <w:tcW w:w="3287" w:type="dxa"/>
            <w:vAlign w:val="center"/>
          </w:tcPr>
          <w:p w14:paraId="101B714C">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在</w:t>
            </w:r>
            <w:r>
              <w:rPr>
                <w:rFonts w:hint="eastAsia" w:ascii="Times New Roman" w:hAnsi="Times New Roman" w:cs="宋体"/>
                <w:color w:val="auto"/>
                <w:sz w:val="22"/>
                <w:szCs w:val="22"/>
                <w:highlight w:val="none"/>
                <w:lang w:eastAsia="zh-CN"/>
              </w:rPr>
              <w:t>征收</w:t>
            </w:r>
            <w:r>
              <w:rPr>
                <w:rFonts w:hint="eastAsia" w:ascii="Times New Roman" w:hAnsi="Times New Roman" w:cs="宋体"/>
                <w:color w:val="auto"/>
                <w:sz w:val="22"/>
                <w:szCs w:val="22"/>
                <w:highlight w:val="none"/>
              </w:rPr>
              <w:t>公告发布后医院证明未愈，且一次性治疗自费超过0.8万（含0.8万）的贫困家庭</w:t>
            </w:r>
          </w:p>
        </w:tc>
      </w:tr>
      <w:tr w14:paraId="57D50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582" w:type="dxa"/>
            <w:vMerge w:val="restart"/>
            <w:vAlign w:val="center"/>
          </w:tcPr>
          <w:p w14:paraId="2252DD0F">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残疾</w:t>
            </w:r>
          </w:p>
        </w:tc>
        <w:tc>
          <w:tcPr>
            <w:tcW w:w="1950" w:type="dxa"/>
            <w:vAlign w:val="center"/>
          </w:tcPr>
          <w:p w14:paraId="2EE6F59A">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1、2级</w:t>
            </w:r>
          </w:p>
        </w:tc>
        <w:tc>
          <w:tcPr>
            <w:tcW w:w="1802" w:type="dxa"/>
            <w:vAlign w:val="center"/>
          </w:tcPr>
          <w:p w14:paraId="7130A167">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0.8</w:t>
            </w:r>
          </w:p>
        </w:tc>
        <w:tc>
          <w:tcPr>
            <w:tcW w:w="3287" w:type="dxa"/>
            <w:vMerge w:val="restart"/>
            <w:vAlign w:val="center"/>
          </w:tcPr>
          <w:p w14:paraId="7FF2A867">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残疾认定必须持有残疾证</w:t>
            </w:r>
          </w:p>
        </w:tc>
      </w:tr>
      <w:tr w14:paraId="2C93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exact"/>
          <w:jc w:val="center"/>
        </w:trPr>
        <w:tc>
          <w:tcPr>
            <w:tcW w:w="1582" w:type="dxa"/>
            <w:vMerge w:val="continue"/>
            <w:vAlign w:val="center"/>
          </w:tcPr>
          <w:p w14:paraId="53967792">
            <w:pPr>
              <w:spacing w:line="360" w:lineRule="exact"/>
              <w:jc w:val="center"/>
              <w:rPr>
                <w:rFonts w:ascii="Times New Roman" w:hAnsi="Times New Roman" w:cs="宋体"/>
                <w:color w:val="auto"/>
                <w:sz w:val="22"/>
                <w:szCs w:val="22"/>
                <w:highlight w:val="none"/>
              </w:rPr>
            </w:pPr>
          </w:p>
        </w:tc>
        <w:tc>
          <w:tcPr>
            <w:tcW w:w="1950" w:type="dxa"/>
            <w:vAlign w:val="center"/>
          </w:tcPr>
          <w:p w14:paraId="1F95CCDC">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3、4级</w:t>
            </w:r>
          </w:p>
        </w:tc>
        <w:tc>
          <w:tcPr>
            <w:tcW w:w="1802" w:type="dxa"/>
            <w:vAlign w:val="center"/>
          </w:tcPr>
          <w:p w14:paraId="4F7FB5F2">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0.4</w:t>
            </w:r>
          </w:p>
        </w:tc>
        <w:tc>
          <w:tcPr>
            <w:tcW w:w="3287" w:type="dxa"/>
            <w:vMerge w:val="continue"/>
            <w:vAlign w:val="center"/>
          </w:tcPr>
          <w:p w14:paraId="1A83214A">
            <w:pPr>
              <w:spacing w:line="360" w:lineRule="exact"/>
              <w:jc w:val="center"/>
              <w:rPr>
                <w:rFonts w:ascii="Times New Roman" w:hAnsi="Times New Roman" w:cs="宋体"/>
                <w:color w:val="auto"/>
                <w:sz w:val="22"/>
                <w:szCs w:val="22"/>
                <w:highlight w:val="none"/>
              </w:rPr>
            </w:pPr>
          </w:p>
        </w:tc>
      </w:tr>
      <w:tr w14:paraId="1532F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6" w:hRule="atLeast"/>
          <w:jc w:val="center"/>
        </w:trPr>
        <w:tc>
          <w:tcPr>
            <w:tcW w:w="1582" w:type="dxa"/>
            <w:vMerge w:val="restart"/>
            <w:vAlign w:val="center"/>
          </w:tcPr>
          <w:p w14:paraId="2667E79B">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贫困</w:t>
            </w:r>
          </w:p>
        </w:tc>
        <w:tc>
          <w:tcPr>
            <w:tcW w:w="1950" w:type="dxa"/>
            <w:vAlign w:val="center"/>
          </w:tcPr>
          <w:p w14:paraId="45B15D31">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三无、五保户、低保家庭</w:t>
            </w:r>
          </w:p>
        </w:tc>
        <w:tc>
          <w:tcPr>
            <w:tcW w:w="1802" w:type="dxa"/>
            <w:vAlign w:val="center"/>
          </w:tcPr>
          <w:p w14:paraId="5E0A16CB">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0.8</w:t>
            </w:r>
          </w:p>
        </w:tc>
        <w:tc>
          <w:tcPr>
            <w:tcW w:w="3287" w:type="dxa"/>
            <w:vAlign w:val="center"/>
          </w:tcPr>
          <w:p w14:paraId="173EC77B">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须提供民政部门有效证件</w:t>
            </w:r>
          </w:p>
        </w:tc>
      </w:tr>
      <w:tr w14:paraId="6C5CC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1582" w:type="dxa"/>
            <w:vMerge w:val="continue"/>
            <w:vAlign w:val="center"/>
          </w:tcPr>
          <w:p w14:paraId="499C7115">
            <w:pPr>
              <w:spacing w:line="360" w:lineRule="exact"/>
              <w:jc w:val="center"/>
              <w:rPr>
                <w:rFonts w:ascii="Times New Roman" w:hAnsi="Times New Roman" w:cs="宋体"/>
                <w:color w:val="auto"/>
                <w:sz w:val="22"/>
                <w:szCs w:val="22"/>
                <w:highlight w:val="none"/>
              </w:rPr>
            </w:pPr>
          </w:p>
        </w:tc>
        <w:tc>
          <w:tcPr>
            <w:tcW w:w="1950" w:type="dxa"/>
            <w:vAlign w:val="center"/>
          </w:tcPr>
          <w:p w14:paraId="42231FC1">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特困职工、低保边缘人群</w:t>
            </w:r>
          </w:p>
        </w:tc>
        <w:tc>
          <w:tcPr>
            <w:tcW w:w="1802" w:type="dxa"/>
            <w:vAlign w:val="center"/>
          </w:tcPr>
          <w:p w14:paraId="1464DFE9">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0.4</w:t>
            </w:r>
          </w:p>
        </w:tc>
        <w:tc>
          <w:tcPr>
            <w:tcW w:w="3287" w:type="dxa"/>
            <w:vAlign w:val="center"/>
          </w:tcPr>
          <w:p w14:paraId="1D14C286">
            <w:pPr>
              <w:spacing w:line="360" w:lineRule="exact"/>
              <w:jc w:val="center"/>
              <w:rPr>
                <w:rFonts w:ascii="Times New Roman" w:hAnsi="Times New Roman" w:cs="宋体"/>
                <w:color w:val="auto"/>
                <w:sz w:val="22"/>
                <w:szCs w:val="22"/>
                <w:highlight w:val="none"/>
              </w:rPr>
            </w:pPr>
            <w:r>
              <w:rPr>
                <w:rFonts w:hint="eastAsia" w:ascii="Times New Roman" w:hAnsi="Times New Roman" w:cs="宋体"/>
                <w:color w:val="auto"/>
                <w:sz w:val="22"/>
                <w:szCs w:val="22"/>
                <w:highlight w:val="none"/>
              </w:rPr>
              <w:t>特困职工须提供县总工会有效证件</w:t>
            </w:r>
          </w:p>
        </w:tc>
      </w:tr>
    </w:tbl>
    <w:p w14:paraId="30B34ABB">
      <w:pPr>
        <w:pStyle w:val="2"/>
        <w:keepNext w:val="0"/>
        <w:keepLines w:val="0"/>
        <w:pageBreakBefore w:val="0"/>
        <w:widowControl w:val="0"/>
        <w:kinsoku/>
        <w:wordWrap/>
        <w:overflowPunct/>
        <w:topLinePunct w:val="0"/>
        <w:autoSpaceDE/>
        <w:autoSpaceDN/>
        <w:bidi w:val="0"/>
        <w:adjustRightInd/>
        <w:snapToGrid/>
        <w:spacing w:line="20" w:lineRule="exact"/>
        <w:textAlignment w:val="auto"/>
        <w:rPr>
          <w:rFonts w:ascii="Times New Roman" w:hAnsi="Times New Roman"/>
          <w:color w:val="auto"/>
          <w:sz w:val="30"/>
          <w:szCs w:val="30"/>
          <w:highlight w:val="none"/>
        </w:rPr>
      </w:pPr>
    </w:p>
    <w:sectPr>
      <w:headerReference r:id="rId5" w:type="first"/>
      <w:footerReference r:id="rId8" w:type="first"/>
      <w:headerReference r:id="rId3" w:type="default"/>
      <w:footerReference r:id="rId6" w:type="default"/>
      <w:headerReference r:id="rId4" w:type="even"/>
      <w:footerReference r:id="rId7" w:type="even"/>
      <w:pgSz w:w="11906" w:h="16838"/>
      <w:pgMar w:top="1871" w:right="1587" w:bottom="1587" w:left="1587" w:header="851" w:footer="1417"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4A3C02">
    <w:pPr>
      <w:pStyle w:val="3"/>
    </w:pPr>
    <w:r>
      <w:rPr>
        <w:rFonts w:ascii="Calibri" w:hAnsi="Calibri" w:eastAsia="宋体" w:cs="Times New Roman"/>
        <w:kern w:val="2"/>
        <w:sz w:val="18"/>
        <w:szCs w:val="24"/>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45FE23CD">
                          <w:pPr>
                            <w:pStyle w:val="3"/>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5rnJj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LZM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fmucmMMBAACPAwAADgAAAAAAAAABACAAAAAfAQAAZHJzL2Uyb0RvYy54bWxQ&#10;SwUGAAAAAAYABgBZAQAAVAUAAAAA&#10;">
              <v:fill on="f" focussize="0,0"/>
              <v:stroke on="f"/>
              <v:imagedata o:title=""/>
              <o:lock v:ext="edit" aspectratio="f"/>
              <v:textbox inset="0mm,0mm,0mm,0mm" style="mso-fit-shape-to-text:t;">
                <w:txbxContent>
                  <w:p w14:paraId="45FE23CD">
                    <w:pPr>
                      <w:pStyle w:val="3"/>
                      <w:keepNext w:val="0"/>
                      <w:keepLines w:val="0"/>
                      <w:pageBreakBefore w:val="0"/>
                      <w:widowControl w:val="0"/>
                      <w:kinsoku/>
                      <w:wordWrap/>
                      <w:overflowPunct/>
                      <w:topLinePunct w:val="0"/>
                      <w:bidi w:val="0"/>
                      <w:adjustRightInd/>
                      <w:snapToGrid w:val="0"/>
                      <w:ind w:left="420" w:leftChars="200" w:right="420" w:right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BD88B">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8E0E84">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BC5B0">
    <w:pPr>
      <w:pStyle w:val="4"/>
      <w:pBdr>
        <w:top w:val="none" w:color="auto" w:sz="0" w:space="0"/>
        <w:left w:val="none" w:color="auto" w:sz="0" w:space="0"/>
        <w:bottom w:val="none" w:color="auto" w:sz="0" w:space="0"/>
        <w:right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21EDB">
    <w:pPr>
      <w:pStyle w:val="4"/>
      <w:pBdr>
        <w:top w:val="none" w:color="auto" w:sz="0" w:space="0"/>
        <w:left w:val="none" w:color="auto" w:sz="0" w:space="0"/>
        <w:bottom w:val="none" w:color="auto" w:sz="0" w:space="0"/>
        <w:right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43607">
    <w:pPr>
      <w:pStyle w:val="4"/>
      <w:pBdr>
        <w:top w:val="none" w:color="auto" w:sz="0" w:space="0"/>
        <w:left w:val="none" w:color="auto" w:sz="0" w:space="0"/>
        <w:bottom w:val="none" w:color="auto" w:sz="0" w:space="0"/>
        <w:right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c3NGY4OGE0ZTRjNWE0NTdmMWJlMTNmOTA3YjdmMWUifQ=="/>
  </w:docVars>
  <w:rsids>
    <w:rsidRoot w:val="00BB2F7B"/>
    <w:rsid w:val="00100952"/>
    <w:rsid w:val="001035AF"/>
    <w:rsid w:val="001173DD"/>
    <w:rsid w:val="0018280E"/>
    <w:rsid w:val="001E613C"/>
    <w:rsid w:val="0020429B"/>
    <w:rsid w:val="00227CE1"/>
    <w:rsid w:val="0023060E"/>
    <w:rsid w:val="002529C7"/>
    <w:rsid w:val="00263446"/>
    <w:rsid w:val="00275DE6"/>
    <w:rsid w:val="002A5D25"/>
    <w:rsid w:val="002C7697"/>
    <w:rsid w:val="002D3708"/>
    <w:rsid w:val="003027CC"/>
    <w:rsid w:val="003474B9"/>
    <w:rsid w:val="003A250C"/>
    <w:rsid w:val="00415170"/>
    <w:rsid w:val="004728E7"/>
    <w:rsid w:val="00473AF1"/>
    <w:rsid w:val="004D42C1"/>
    <w:rsid w:val="005567CC"/>
    <w:rsid w:val="005D6D60"/>
    <w:rsid w:val="006129CE"/>
    <w:rsid w:val="00633072"/>
    <w:rsid w:val="006913A7"/>
    <w:rsid w:val="006C5A44"/>
    <w:rsid w:val="006F6BF8"/>
    <w:rsid w:val="0077680D"/>
    <w:rsid w:val="00827116"/>
    <w:rsid w:val="00834244"/>
    <w:rsid w:val="00841839"/>
    <w:rsid w:val="008B0E65"/>
    <w:rsid w:val="009025A8"/>
    <w:rsid w:val="00A165F0"/>
    <w:rsid w:val="00AE32EC"/>
    <w:rsid w:val="00B07B4F"/>
    <w:rsid w:val="00BB2F7B"/>
    <w:rsid w:val="00BD1339"/>
    <w:rsid w:val="00C336F5"/>
    <w:rsid w:val="00CE346E"/>
    <w:rsid w:val="00D265A8"/>
    <w:rsid w:val="00DC5740"/>
    <w:rsid w:val="00E12511"/>
    <w:rsid w:val="00E168AB"/>
    <w:rsid w:val="00E72B33"/>
    <w:rsid w:val="00EE3845"/>
    <w:rsid w:val="00F6498E"/>
    <w:rsid w:val="00F764C6"/>
    <w:rsid w:val="037E1E24"/>
    <w:rsid w:val="049529CB"/>
    <w:rsid w:val="09D1584C"/>
    <w:rsid w:val="09FB7B6F"/>
    <w:rsid w:val="0A8605FC"/>
    <w:rsid w:val="0A8F7038"/>
    <w:rsid w:val="0A92311A"/>
    <w:rsid w:val="0D0F769E"/>
    <w:rsid w:val="0DC726C9"/>
    <w:rsid w:val="0F1A51BE"/>
    <w:rsid w:val="0F561FC7"/>
    <w:rsid w:val="119C142F"/>
    <w:rsid w:val="12092C96"/>
    <w:rsid w:val="131B6AB1"/>
    <w:rsid w:val="132B25F4"/>
    <w:rsid w:val="13563DC5"/>
    <w:rsid w:val="14951A0D"/>
    <w:rsid w:val="14C602B3"/>
    <w:rsid w:val="14D44F3F"/>
    <w:rsid w:val="168F269D"/>
    <w:rsid w:val="16957395"/>
    <w:rsid w:val="1A086060"/>
    <w:rsid w:val="1A8B0F91"/>
    <w:rsid w:val="1ADA70E1"/>
    <w:rsid w:val="1ADF7DBB"/>
    <w:rsid w:val="1B0965E3"/>
    <w:rsid w:val="1B9A77AA"/>
    <w:rsid w:val="1DE16D67"/>
    <w:rsid w:val="1EC83E07"/>
    <w:rsid w:val="1F4965C1"/>
    <w:rsid w:val="204F7184"/>
    <w:rsid w:val="209E55F1"/>
    <w:rsid w:val="21503DB4"/>
    <w:rsid w:val="238308E8"/>
    <w:rsid w:val="23E712FA"/>
    <w:rsid w:val="240E2E3D"/>
    <w:rsid w:val="279738D8"/>
    <w:rsid w:val="27B62FEE"/>
    <w:rsid w:val="2ACB0B1B"/>
    <w:rsid w:val="2B0035EE"/>
    <w:rsid w:val="2F3B1B13"/>
    <w:rsid w:val="319B0AE4"/>
    <w:rsid w:val="3208394F"/>
    <w:rsid w:val="37304B49"/>
    <w:rsid w:val="39893093"/>
    <w:rsid w:val="39CD3459"/>
    <w:rsid w:val="3A1D158E"/>
    <w:rsid w:val="3AE01173"/>
    <w:rsid w:val="3B610634"/>
    <w:rsid w:val="3B7B31CF"/>
    <w:rsid w:val="3DF92EB3"/>
    <w:rsid w:val="3F4A4ACE"/>
    <w:rsid w:val="3F8163F9"/>
    <w:rsid w:val="3FAB03A5"/>
    <w:rsid w:val="40057ED4"/>
    <w:rsid w:val="447458AB"/>
    <w:rsid w:val="465F7722"/>
    <w:rsid w:val="477E15B5"/>
    <w:rsid w:val="484857B1"/>
    <w:rsid w:val="48C518FE"/>
    <w:rsid w:val="48D30117"/>
    <w:rsid w:val="48EA5D2A"/>
    <w:rsid w:val="4BA90813"/>
    <w:rsid w:val="4C113D5E"/>
    <w:rsid w:val="4D6F1E3B"/>
    <w:rsid w:val="500D53A6"/>
    <w:rsid w:val="50CE3852"/>
    <w:rsid w:val="52B92FF9"/>
    <w:rsid w:val="54AB170A"/>
    <w:rsid w:val="566E0AEA"/>
    <w:rsid w:val="587B160C"/>
    <w:rsid w:val="58C85279"/>
    <w:rsid w:val="5B955468"/>
    <w:rsid w:val="5D9F62ED"/>
    <w:rsid w:val="5F95299A"/>
    <w:rsid w:val="601F7617"/>
    <w:rsid w:val="61386A14"/>
    <w:rsid w:val="61F109D0"/>
    <w:rsid w:val="66B53CBC"/>
    <w:rsid w:val="67243DDE"/>
    <w:rsid w:val="6C6469A7"/>
    <w:rsid w:val="6C6B2910"/>
    <w:rsid w:val="6C7A4B63"/>
    <w:rsid w:val="6CB94400"/>
    <w:rsid w:val="6E861330"/>
    <w:rsid w:val="6FC92099"/>
    <w:rsid w:val="725B0F2F"/>
    <w:rsid w:val="730564A2"/>
    <w:rsid w:val="73BA1CEE"/>
    <w:rsid w:val="73C1608B"/>
    <w:rsid w:val="752D7170"/>
    <w:rsid w:val="76FA2DC0"/>
    <w:rsid w:val="78016303"/>
    <w:rsid w:val="7A632AB5"/>
    <w:rsid w:val="7B9821E3"/>
    <w:rsid w:val="7CF654AB"/>
    <w:rsid w:val="7E374C4D"/>
    <w:rsid w:val="7FC312B4"/>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qFormat="1" w:unhideWhenUsed="0" w:uiPriority="99" w:semiHidden="0" w:name="Plain Text"/>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99"/>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Plain Text"/>
    <w:basedOn w:val="1"/>
    <w:link w:val="7"/>
    <w:qFormat/>
    <w:uiPriority w:val="99"/>
    <w:rPr>
      <w:rFonts w:ascii="宋体" w:hAnsi="Courier New"/>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customStyle="1" w:styleId="7">
    <w:name w:val="Plain Text Char"/>
    <w:basedOn w:val="6"/>
    <w:link w:val="2"/>
    <w:semiHidden/>
    <w:qFormat/>
    <w:locked/>
    <w:uiPriority w:val="99"/>
    <w:rPr>
      <w:rFonts w:ascii="宋体" w:hAnsi="Courier New" w:cs="Courier New"/>
      <w:sz w:val="21"/>
      <w:szCs w:val="21"/>
    </w:rPr>
  </w:style>
  <w:style w:type="character" w:customStyle="1" w:styleId="8">
    <w:name w:val="Footer Char"/>
    <w:basedOn w:val="6"/>
    <w:link w:val="3"/>
    <w:semiHidden/>
    <w:qFormat/>
    <w:locked/>
    <w:uiPriority w:val="99"/>
    <w:rPr>
      <w:rFonts w:ascii="Calibri" w:hAnsi="Calibri" w:cs="Times New Roman"/>
      <w:sz w:val="18"/>
      <w:szCs w:val="18"/>
    </w:rPr>
  </w:style>
  <w:style w:type="character" w:customStyle="1" w:styleId="9">
    <w:name w:val="Header Char"/>
    <w:basedOn w:val="6"/>
    <w:link w:val="4"/>
    <w:semiHidden/>
    <w:qFormat/>
    <w:locked/>
    <w:uiPriority w:val="99"/>
    <w:rPr>
      <w:rFonts w:ascii="Calibri" w:hAnsi="Calibri" w:cs="Times New Roman"/>
      <w:sz w:val="18"/>
      <w:szCs w:val="18"/>
    </w:rPr>
  </w:style>
  <w:style w:type="character" w:customStyle="1" w:styleId="10">
    <w:name w:val="UserStyle_2"/>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14</Pages>
  <Words>6077</Words>
  <Characters>6305</Characters>
  <Lines>0</Lines>
  <Paragraphs>0</Paragraphs>
  <TotalTime>4</TotalTime>
  <ScaleCrop>false</ScaleCrop>
  <LinksUpToDate>false</LinksUpToDate>
  <CharactersWithSpaces>6316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小清晰</cp:lastModifiedBy>
  <cp:lastPrinted>2025-05-28T07:47:00Z</cp:lastPrinted>
  <dcterms:modified xsi:type="dcterms:W3CDTF">2025-06-04T01:54:48Z</dcterms:modified>
  <dc:title>滨海县国有土地上房屋征收补偿实施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82CF564DECF1482D9AD5F9145FC7596C_13</vt:lpwstr>
  </property>
  <property fmtid="{D5CDD505-2E9C-101B-9397-08002B2CF9AE}" pid="4" name="KSOTemplateDocerSaveRecord">
    <vt:lpwstr>eyJoZGlkIjoiZDllZTA3MDU2ZmFiOTcyN2NiNWNiZDczZDY3YTZiNWEiLCJ1c2VySWQiOiI1MjQ0MzgzNDgifQ==</vt:lpwstr>
  </property>
</Properties>
</file>