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CE5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68F1918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滨海县</w:t>
      </w:r>
      <w:r>
        <w:rPr>
          <w:rFonts w:hint="eastAsia" w:ascii="方正小标宋_GBK" w:hAnsi="方正小标宋_GBK" w:eastAsia="方正小标宋_GBK" w:cs="方正小标宋_GBK"/>
          <w:sz w:val="44"/>
          <w:szCs w:val="44"/>
        </w:rPr>
        <w:t>电动自行车安全隐患全链条</w:t>
      </w:r>
    </w:p>
    <w:p w14:paraId="6654172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整治行动实施方案</w:t>
      </w:r>
    </w:p>
    <w:p w14:paraId="091316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征求意见稿</w:t>
      </w:r>
      <w:r>
        <w:rPr>
          <w:rFonts w:hint="eastAsia" w:ascii="方正楷体_GBK" w:hAnsi="方正楷体_GBK" w:eastAsia="方正楷体_GBK" w:cs="方正楷体_GBK"/>
          <w:sz w:val="32"/>
          <w:szCs w:val="32"/>
          <w:lang w:eastAsia="zh-CN"/>
        </w:rPr>
        <w:t>）</w:t>
      </w:r>
    </w:p>
    <w:p w14:paraId="5A4439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p>
    <w:p w14:paraId="70D7CC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为进一步预防和减少电动自行车各类生产安全事故，全面加强电动自行车全链条安全监管，根据省政府办公厅印发的《江苏省电动自行车安全隐患全链条整治行动实施方案》</w:t>
      </w:r>
      <w:r>
        <w:rPr>
          <w:rFonts w:hint="eastAsia" w:ascii="Times New Roman" w:hAnsi="Times New Roman" w:eastAsia="方正仿宋_GBK" w:cs="方正仿宋_GBK"/>
          <w:sz w:val="32"/>
          <w:szCs w:val="32"/>
          <w:lang w:val="en-US" w:eastAsia="zh-CN"/>
        </w:rPr>
        <w:t>和市政府办公室印发的</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盐城市</w:t>
      </w:r>
      <w:r>
        <w:rPr>
          <w:rFonts w:hint="eastAsia" w:ascii="Times New Roman" w:hAnsi="Times New Roman" w:eastAsia="方正仿宋_GBK" w:cs="方正仿宋_GBK"/>
          <w:sz w:val="32"/>
          <w:szCs w:val="32"/>
        </w:rPr>
        <w:t>电动自行车安全隐患全链条整治行动实施方案》，结合我</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实际，对我</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的电动自行车安全专项整治工作进行再推动、再落实，确保与国家</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省</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市</w:t>
      </w:r>
      <w:r>
        <w:rPr>
          <w:rFonts w:hint="eastAsia" w:ascii="Times New Roman" w:hAnsi="Times New Roman" w:eastAsia="方正仿宋_GBK" w:cs="方正仿宋_GBK"/>
          <w:sz w:val="32"/>
          <w:szCs w:val="32"/>
        </w:rPr>
        <w:t>全链条整治行动保持步调一致、标准一致、无缝衔接，制定本实施方案。</w:t>
      </w:r>
    </w:p>
    <w:p w14:paraId="63FEB9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方正黑体_GBK" w:hAnsi="方正黑体_GBK" w:eastAsia="方正黑体_GBK" w:cs="方正黑体_GBK"/>
          <w:sz w:val="32"/>
          <w:szCs w:val="32"/>
        </w:rPr>
        <w:t>一、目标要求</w:t>
      </w:r>
    </w:p>
    <w:p w14:paraId="048BD8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以习近平新时代中国特色社会主义思想为指导，深入学习贯彻习近平总书记关于安全生产重要论述和指示精神，坚持人民至上、生命至上，坚持标本兼治、疏堵结合、创新驱动、齐抓共管，认真落实国家和省</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市</w:t>
      </w:r>
      <w:r>
        <w:rPr>
          <w:rFonts w:hint="eastAsia" w:ascii="Times New Roman" w:hAnsi="Times New Roman" w:eastAsia="方正仿宋_GBK" w:cs="方正仿宋_GBK"/>
          <w:sz w:val="32"/>
          <w:szCs w:val="32"/>
        </w:rPr>
        <w:t>整治行动各项任务，在前期开展电动自行车安全专项整治的基础上，全面整治电动自行车生产、销售、使用、停放、充电、报废回收等环节安全隐患，切实保障人民群众生命财产安全，以高水平安全保障高质量发展。2024年开展集中整治</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切实消除安全隐患，有效预防和减少电动自行车安全事故，坚决遏制重特大火灾事故、较大交通事故；2025年巩固提升整治成效，降低存量风险，严控增量风险，建立完善并推进落实电动自行车全链条安全监管长效机制。</w:t>
      </w:r>
    </w:p>
    <w:p w14:paraId="79729F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二、整治内容</w:t>
      </w:r>
    </w:p>
    <w:p w14:paraId="5A983D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方正楷体_GBK" w:hAnsi="方正楷体_GBK" w:eastAsia="方正楷体_GBK" w:cs="方正楷体_GBK"/>
          <w:sz w:val="32"/>
          <w:szCs w:val="32"/>
        </w:rPr>
        <w:t>（一）加强电动自行车贯标认证工作</w:t>
      </w:r>
    </w:p>
    <w:p w14:paraId="1B69F1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强化标准贯彻落实。组织宣贯《电动自行车安全技术规范》《电动自行车电气安全要求》《电动自行车用锂离子蓄电池安全技术规范》《电动自行车用充电器安全技术要求》等强制性国家标准，指导督促企业按照国家标准提高电动自行车防火阻燃性能，严格电气导线载流能力和蓄电池、控制器、限速器防篡改技术要求，按规定严格限制电机功率，明确整车内置具备动态安全监测功能的北斗定位模块，标注正常使用条件下锂电池安全使用年限，禁止电动自行车使用梯次利用锂电池。推动增设车身喷涂反光标识相关标准，加强驾驶人夜间通行安全保障。〔</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工业和信息化局、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配合；本项及以下均需</w:t>
      </w:r>
      <w:r>
        <w:rPr>
          <w:rFonts w:hint="default" w:ascii="Times New Roman" w:hAnsi="Times New Roman" w:eastAsia="方正仿宋_GBK" w:cs="Times New Roman"/>
          <w:b w:val="0"/>
          <w:bCs/>
          <w:sz w:val="32"/>
          <w:szCs w:val="32"/>
          <w:lang w:val="en-US" w:eastAsia="zh-CN"/>
        </w:rPr>
        <w:t>各镇（区、街道、园区）</w:t>
      </w:r>
      <w:r>
        <w:rPr>
          <w:rFonts w:hint="eastAsia" w:ascii="Times New Roman" w:hAnsi="Times New Roman" w:eastAsia="方正仿宋_GBK" w:cs="方正仿宋_GBK"/>
          <w:sz w:val="32"/>
          <w:szCs w:val="32"/>
        </w:rPr>
        <w:t>组织落实，不再单独列出〕</w:t>
      </w:r>
    </w:p>
    <w:p w14:paraId="7D143D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指导督促企业按照国家标准落实电动自行车控制器、蓄电池、充电器互认协同要求；推行“一车一池一充一码”，明确电动自行车车架、蓄电池、充电器明显位置设置永久性耐高温识别代码标识，2024年底前取得阶段性进展并持续推进。（</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工业和信息化局、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牵头负责）</w:t>
      </w:r>
    </w:p>
    <w:p w14:paraId="56909D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2．严格认证监督管理。强化纳入认证管理范围的电动自行车及核心部件强制性产品认证（CCC）管理，结合“双随机、一</w:t>
      </w:r>
    </w:p>
    <w:p w14:paraId="675B828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公开”监督检查，提高认证产品生产企业抽查比例，严查无证生产、超认证范围生产、不按认证要求生产等违法违规行为；督促认证机构依法依规开展认证，加强获证产品一致性检查。（</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牵头负责）</w:t>
      </w:r>
    </w:p>
    <w:p w14:paraId="1B5DCB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（二）强化违法违规生产销售行为整治</w:t>
      </w:r>
    </w:p>
    <w:p w14:paraId="5130FA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引导行业规范发展。严格落实国家《电动自行车行业规范条件》《锂离子电池行业规范条件》等，引导电动自行车及锂离子蓄电池生产企业加快技术改造，不断提高规范化水平。指导符合条件的生产企业进入国家“正面清单”目录，推动电动自行车产品质量水平整体提升。鼓励电动自行车行业协会加强自律管理。（</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工业和信息化局牵头负责，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配合）</w:t>
      </w:r>
    </w:p>
    <w:p w14:paraId="3BD0EE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4．加强企业质量管控。严格电动自行车及蓄电池、充电器、安全头盔生产企业质量安全监管，集中开展一轮排查整治，全面摸清生产企业底数，逐一审查生产资质，指导督促企业严格按照强制性国家标准和安全技术规范生产，2024年10月底前完成。对纳入重点工业产品质量安全监管目录的电动自行车、蓄电池、充电器等核心部件以及安全头盔，</w:t>
      </w:r>
      <w:r>
        <w:rPr>
          <w:rFonts w:hint="eastAsia" w:ascii="Times New Roman" w:hAnsi="Times New Roman" w:eastAsia="方正仿宋_GBK" w:cs="方正仿宋_GBK"/>
          <w:sz w:val="32"/>
          <w:szCs w:val="32"/>
          <w:lang w:val="en-US" w:eastAsia="zh-CN"/>
        </w:rPr>
        <w:t>定期</w:t>
      </w:r>
      <w:r>
        <w:rPr>
          <w:rFonts w:hint="eastAsia" w:ascii="Times New Roman" w:hAnsi="Times New Roman" w:eastAsia="方正仿宋_GBK" w:cs="方正仿宋_GBK"/>
          <w:sz w:val="32"/>
          <w:szCs w:val="32"/>
        </w:rPr>
        <w:t>开展质量抽查并</w:t>
      </w:r>
      <w:r>
        <w:rPr>
          <w:rFonts w:hint="eastAsia" w:ascii="Times New Roman" w:hAnsi="Times New Roman" w:eastAsia="方正仿宋_GBK" w:cs="方正仿宋_GBK"/>
          <w:sz w:val="32"/>
          <w:szCs w:val="32"/>
          <w:lang w:val="en-US" w:eastAsia="zh-CN"/>
        </w:rPr>
        <w:t>依法依规向</w:t>
      </w:r>
      <w:r>
        <w:rPr>
          <w:rFonts w:hint="eastAsia" w:ascii="Times New Roman" w:hAnsi="Times New Roman" w:eastAsia="方正仿宋_GBK" w:cs="方正仿宋_GBK"/>
          <w:sz w:val="32"/>
          <w:szCs w:val="32"/>
        </w:rPr>
        <w:t>社会公布抽查结果；依法处罚未经认证出厂、销售、进口等违法行为，情节严重的吊销营业执照；发现存在质量缺陷时，及时督促企业向社会公布存在安全隐患的缺陷产品信息，严格执行召回制度，2024年底前取得阶段性进展并持续推进。（</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工业和信息化局配合）</w:t>
      </w:r>
    </w:p>
    <w:p w14:paraId="3936F9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5．整治销售企业和网点。集中约谈一次电动自行车及蓄电池、充电器、安全头盔销售企业和网点，开展一轮监督检查，督促销售企业严格进货检查验收，重点核查产品合格证明、强制性认证等信息，明确整车不得与蓄电池拆分销售，督促销售网点公示符合标准、获得认证情况和骑行要求，2024年8月底前完成。持续开展流通领域产品质量监督抽查，从严查处无照销售、销售不符合标准和未获得认证产品等行为，情节严重的吊销营业执照，2024年底前完成并持续推进。提前引导销售企业和网点下架不符合强制性国家标准的充电器。（</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公安局按职责分工负责）</w:t>
      </w:r>
    </w:p>
    <w:p w14:paraId="73CC61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加强寄递渠道安全监管，禁止寄递电动自行车用蓄电池。（</w:t>
      </w:r>
      <w:r>
        <w:rPr>
          <w:rFonts w:hint="eastAsia" w:ascii="Times New Roman" w:hAnsi="Times New Roman" w:eastAsia="方正仿宋_GBK" w:cs="方正仿宋_GBK"/>
          <w:sz w:val="32"/>
          <w:szCs w:val="32"/>
          <w:lang w:val="en-US" w:eastAsia="zh-CN"/>
        </w:rPr>
        <w:t>县交通运输局（</w:t>
      </w:r>
      <w:r>
        <w:rPr>
          <w:rFonts w:hint="eastAsia" w:ascii="Times New Roman" w:hAnsi="Times New Roman" w:eastAsia="方正仿宋_GBK" w:cs="方正仿宋_GBK"/>
          <w:sz w:val="32"/>
          <w:szCs w:val="32"/>
        </w:rPr>
        <w:t>邮政管理局</w:t>
      </w:r>
      <w:r>
        <w:rPr>
          <w:rFonts w:hint="eastAsia" w:ascii="Times New Roman" w:hAnsi="Times New Roman" w:eastAsia="方正仿宋_GBK" w:cs="方正仿宋_GBK"/>
          <w:sz w:val="32"/>
          <w:szCs w:val="32"/>
          <w:lang w:val="en-US" w:eastAsia="zh-CN"/>
        </w:rPr>
        <w:t>）</w:t>
      </w:r>
      <w:r>
        <w:rPr>
          <w:rFonts w:hint="eastAsia" w:ascii="Times New Roman" w:hAnsi="Times New Roman" w:eastAsia="方正仿宋_GBK" w:cs="方正仿宋_GBK"/>
          <w:sz w:val="32"/>
          <w:szCs w:val="32"/>
        </w:rPr>
        <w:t>牵头负责）</w:t>
      </w:r>
    </w:p>
    <w:p w14:paraId="46825B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6</w:t>
      </w:r>
      <w:r>
        <w:rPr>
          <w:rFonts w:hint="eastAsia" w:ascii="Times New Roman" w:hAnsi="Times New Roman" w:eastAsia="方正仿宋_GBK" w:cs="方正仿宋_GBK"/>
          <w:sz w:val="32"/>
          <w:szCs w:val="32"/>
        </w:rPr>
        <w:t>．严惩制假售假行为。严厉打击生产、销售假冒伪劣产品行为，定期公布典型执法案例，加强行刑衔接，涉嫌犯罪的依法追究刑事责任，斩断非法生产、销售链条，2024年底前取得阶段性进展并持续推进。强化</w:t>
      </w:r>
      <w:r>
        <w:rPr>
          <w:rFonts w:hint="eastAsia" w:ascii="Times New Roman" w:hAnsi="Times New Roman" w:eastAsia="方正仿宋_GBK" w:cs="方正仿宋_GBK"/>
          <w:sz w:val="32"/>
          <w:szCs w:val="32"/>
          <w:lang w:val="en-US" w:eastAsia="zh-CN"/>
        </w:rPr>
        <w:t>部门</w:t>
      </w:r>
      <w:r>
        <w:rPr>
          <w:rFonts w:hint="eastAsia" w:ascii="Times New Roman" w:hAnsi="Times New Roman" w:eastAsia="方正仿宋_GBK" w:cs="方正仿宋_GBK"/>
          <w:sz w:val="32"/>
          <w:szCs w:val="32"/>
        </w:rPr>
        <w:t>协作，畅通信息共享渠道，加大联合打击力度。（</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牵头负责</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工业和信息化局、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应急管理局、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配合）</w:t>
      </w:r>
    </w:p>
    <w:p w14:paraId="18718F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（三）严厉打击非法拼装改装行为</w:t>
      </w:r>
    </w:p>
    <w:p w14:paraId="24F28D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7</w:t>
      </w:r>
      <w:r>
        <w:rPr>
          <w:rFonts w:hint="eastAsia" w:ascii="Times New Roman" w:hAnsi="Times New Roman" w:eastAsia="方正仿宋_GBK" w:cs="方正仿宋_GBK"/>
          <w:sz w:val="32"/>
          <w:szCs w:val="32"/>
        </w:rPr>
        <w:t>．保持高压严打态势。对销售网点和维修店铺开展经常性检查，督促其在醒目位置明示“禁止非法拼装改装”等内容并公布举报电话，依法从严查处擅自改装原厂电气配件、拆改限速、外设蓄电池托架、改造蓄电池槽盒等违法违规行为，相关信息及时通报上游生产企业，视情取消其经销权。全面查处和取缔违法拼装改装黑作坊，重拳打击违规回收车辆配件以旧充新再次出售、二次组装加工蓄电池、违规更换大容量锂电池等违法违规行为，涉嫌犯罪的依法追究刑事责任，2024年8月底前整治曝光一批典型违法行为并持续推进。（</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牵头负责</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公安局配合）</w:t>
      </w:r>
    </w:p>
    <w:p w14:paraId="5E5796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8</w:t>
      </w:r>
      <w:r>
        <w:rPr>
          <w:rFonts w:hint="eastAsia" w:ascii="Times New Roman" w:hAnsi="Times New Roman" w:eastAsia="方正仿宋_GBK" w:cs="方正仿宋_GBK"/>
          <w:sz w:val="32"/>
          <w:szCs w:val="32"/>
        </w:rPr>
        <w:t>．严把登记管理关口。严格登记车主信息和车架号，认真核查产品强制性认证信息，严格比对合格证上品牌型号、整车编码、电动机编码等信息，严禁不符合要求的电动自行车登记上牌。在蓄电池依法纳入强制性产品认证管理并设置识别代码的基础上，将蓄电池识别代码纳入登记事项，2024年底前完成。推动电动车经营门市依托电动自行车上牌代办点，全方位、全流程提供上牌服务，最大化便利群众，提升群众上牌积极性和主动性。组织开展为期6个月的登记服务网点整治，严格查处违规登记上牌等行为。对临时信息牌电动自行车，未实现大规模淘汰退出的情况下，延续过渡期管理政策，结束时间根据淘汰进展适时决定。（</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公安局牵头负责）</w:t>
      </w:r>
    </w:p>
    <w:p w14:paraId="0805B3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9</w:t>
      </w:r>
      <w:r>
        <w:rPr>
          <w:rFonts w:hint="eastAsia" w:ascii="Times New Roman" w:hAnsi="Times New Roman" w:eastAsia="方正仿宋_GBK" w:cs="方正仿宋_GBK"/>
          <w:sz w:val="32"/>
          <w:szCs w:val="32"/>
        </w:rPr>
        <w:t>．加强路面执法检查。充分利用信息化技术提高识别取证能力，依法查处上路行驶的电动自行车未登记上牌、使用假牌套牌、超过使用年限、非法拼装改装以及闯红灯、逆行、在机动车道行驶、超速等违法违规行为，2025年底前完成。推广使用物联感知、图像识别、RFID射频采集等措施，加强电动自行车非现场执法。对突出违法行为、多次违法人员开展专项治理，保持严管态势。（</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公安局牵头负责）</w:t>
      </w:r>
    </w:p>
    <w:p w14:paraId="385A81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val="en-US" w:eastAsia="zh-CN"/>
        </w:rPr>
        <w:t>0</w:t>
      </w:r>
      <w:r>
        <w:rPr>
          <w:rFonts w:hint="eastAsia" w:ascii="Times New Roman" w:hAnsi="Times New Roman" w:eastAsia="方正仿宋_GBK" w:cs="方正仿宋_GBK"/>
          <w:sz w:val="32"/>
          <w:szCs w:val="32"/>
        </w:rPr>
        <w:t>．强化配送平台管理。召开行政指导会，督促外卖等即时配送平台企业</w:t>
      </w:r>
      <w:r>
        <w:rPr>
          <w:rFonts w:hint="eastAsia" w:ascii="Times New Roman" w:hAnsi="Times New Roman" w:eastAsia="方正仿宋_GBK" w:cs="方正仿宋_GBK"/>
          <w:sz w:val="32"/>
          <w:szCs w:val="32"/>
          <w:lang w:val="en-US" w:eastAsia="zh-CN"/>
        </w:rPr>
        <w:t>在滨工作机构，</w:t>
      </w:r>
      <w:r>
        <w:rPr>
          <w:rFonts w:hint="eastAsia" w:ascii="Times New Roman" w:hAnsi="Times New Roman" w:eastAsia="方正仿宋_GBK" w:cs="方正仿宋_GBK"/>
          <w:sz w:val="32"/>
          <w:szCs w:val="32"/>
        </w:rPr>
        <w:t>严格落实安全责任。督促即时配送平台企业</w:t>
      </w:r>
      <w:r>
        <w:rPr>
          <w:rFonts w:hint="eastAsia" w:ascii="Times New Roman" w:hAnsi="Times New Roman" w:eastAsia="方正仿宋_GBK" w:cs="方正仿宋_GBK"/>
          <w:sz w:val="32"/>
          <w:szCs w:val="32"/>
          <w:lang w:val="en-US" w:eastAsia="zh-CN"/>
        </w:rPr>
        <w:t>在滨工作机构</w:t>
      </w:r>
      <w:r>
        <w:rPr>
          <w:rFonts w:hint="eastAsia" w:ascii="Times New Roman" w:hAnsi="Times New Roman" w:eastAsia="方正仿宋_GBK" w:cs="方正仿宋_GBK"/>
          <w:sz w:val="32"/>
          <w:szCs w:val="32"/>
        </w:rPr>
        <w:t>完善配送管理制度，加强配送人员使用电动自行车及蓄电池审查备案，强化安全教育培训；对使用电动自行车配送的，按照最高速度25公里/小时、守法行驶可完成配送任务的标准设定配送时限、路线，避免因任务设定不合理增加安全风险；督促即时配送平台企业</w:t>
      </w:r>
      <w:r>
        <w:rPr>
          <w:rFonts w:hint="eastAsia" w:ascii="Times New Roman" w:hAnsi="Times New Roman" w:eastAsia="方正仿宋_GBK" w:cs="方正仿宋_GBK"/>
          <w:sz w:val="32"/>
          <w:szCs w:val="32"/>
          <w:lang w:val="en-US" w:eastAsia="zh-CN"/>
        </w:rPr>
        <w:t>在滨工作机构</w:t>
      </w:r>
      <w:r>
        <w:rPr>
          <w:rFonts w:hint="eastAsia" w:ascii="Times New Roman" w:hAnsi="Times New Roman" w:eastAsia="方正仿宋_GBK" w:cs="方正仿宋_GBK"/>
          <w:sz w:val="32"/>
          <w:szCs w:val="32"/>
        </w:rPr>
        <w:t>对车辆拼装改装特别是违规使用大容量锂电池情况开展自查自改，</w:t>
      </w:r>
      <w:r>
        <w:rPr>
          <w:rFonts w:hint="eastAsia" w:ascii="Times New Roman" w:hAnsi="Times New Roman" w:eastAsia="方正仿宋_GBK" w:cs="方正仿宋_GBK"/>
          <w:sz w:val="32"/>
          <w:szCs w:val="32"/>
          <w:lang w:val="en-US" w:eastAsia="zh-CN"/>
        </w:rPr>
        <w:t>公安部门根据道路交通安全法规督促企业对</w:t>
      </w:r>
      <w:r>
        <w:rPr>
          <w:rFonts w:hint="eastAsia" w:ascii="Times New Roman" w:hAnsi="Times New Roman" w:eastAsia="方正仿宋_GBK" w:cs="方正仿宋_GBK"/>
          <w:sz w:val="32"/>
          <w:szCs w:val="32"/>
        </w:rPr>
        <w:t>拼装改装的落实责令恢复原状、禁止使用、限制接单等措施，2024年8月底前完成。鼓励企业为配送人员统一配发符合标准的电动自行车，推行共享换电模式。（</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牵头负责</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公安局配合）</w:t>
      </w:r>
    </w:p>
    <w:p w14:paraId="70E3FB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（四）推动停放充电场所建设和安全整治</w:t>
      </w:r>
    </w:p>
    <w:p w14:paraId="31801F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规范场所设施建设。加强场所规划管理，落实《城市居住区规划设计标准》（GB50180-2018）、《城市综合交通体系规划标准》（GB/T51328-2018）、《社区生活圈规划技术指南》（TD/T1062-2021）、《电动自行车停放充电场所消防技术规范》（DB32/T3904-2020）等有关非机动车停车场（库）设置规定，根据实际明确布局要求和配建比例。严格新建居住项目规划审批管理，将电动自行车停放充电场所纳入项目配套，优先在室外露天区域设置，并与主体工程同步规划。对具备条件建设的既有居民住宅小区，涉及规划调整的优化程序简易办理，不涉及规划调整的无需办理规划审批手续；对因场地资源紧张、无固定停放场所、无充电设施的既有小区，依法依规合理利用周边闲置空间建设，需要调整规划的优化程序简易办理。推动在道路两侧、商业区</w:t>
      </w:r>
      <w:r>
        <w:rPr>
          <w:rFonts w:hint="eastAsia" w:ascii="Times New Roman" w:hAnsi="Times New Roman" w:eastAsia="方正仿宋_GBK" w:cs="方正仿宋_GBK"/>
          <w:sz w:val="32"/>
          <w:szCs w:val="32"/>
          <w:lang w:val="en-US" w:eastAsia="zh-CN"/>
        </w:rPr>
        <w:t>和</w:t>
      </w:r>
      <w:r>
        <w:rPr>
          <w:rFonts w:hint="eastAsia" w:ascii="Times New Roman" w:hAnsi="Times New Roman" w:eastAsia="方正仿宋_GBK" w:cs="方正仿宋_GBK"/>
          <w:sz w:val="32"/>
          <w:szCs w:val="32"/>
        </w:rPr>
        <w:t>公交站以及各类公共服务场所灵活规划建设停放场所并纳入公用设施管理范围。（</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自然资源和规划局牵头负责）</w:t>
      </w:r>
    </w:p>
    <w:p w14:paraId="7F2F51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规划确定后的新建居住项目，将电动自行车停放充电场所与主体工程同步设计、同步建设、同步验收、同步交付使用；将既有居民住宅小区停放场所、充电设施建设统筹纳入政府民生实事事项，列出计划安排，明确目标任务和序时进度，因地制宜加快推进建设，2025年底前基本满足辖区居民电动自行车安全停放充电场所需求。居民住宅小区电动自行车地下半地下停放充电场所按规定设置自动灭火系统，落实分组停放，每组车辆不宜超过20辆，组与组之间设置不小于2米的隔离带或采用高度不低于1.5米、耐火极限不低于1小时的不燃烧体分隔设施等措施，对排查出的不符合要求的场所结合实际抓紧改造建设。积极推广共享充电柜。严格落实省相关工程建设地方标准。</w:t>
      </w:r>
      <w:r>
        <w:rPr>
          <w:rFonts w:hint="eastAsia" w:ascii="Times New Roman" w:hAnsi="Times New Roman" w:eastAsia="方正仿宋_GBK" w:cs="方正仿宋_GBK"/>
          <w:sz w:val="32"/>
          <w:szCs w:val="32"/>
          <w:lang w:val="en-US" w:eastAsia="zh-CN"/>
        </w:rPr>
        <w:t>各</w:t>
      </w:r>
      <w:r>
        <w:rPr>
          <w:rFonts w:hint="eastAsia" w:ascii="Times New Roman" w:hAnsi="Times New Roman" w:eastAsia="方正仿宋_GBK" w:cs="方正仿宋_GBK"/>
          <w:sz w:val="32"/>
          <w:szCs w:val="32"/>
        </w:rPr>
        <w:t>镇（</w:t>
      </w:r>
      <w:r>
        <w:rPr>
          <w:rFonts w:hint="eastAsia" w:ascii="Times New Roman" w:hAnsi="Times New Roman" w:eastAsia="方正仿宋_GBK" w:cs="方正仿宋_GBK"/>
          <w:sz w:val="32"/>
          <w:szCs w:val="32"/>
          <w:lang w:val="en-US" w:eastAsia="zh-CN"/>
        </w:rPr>
        <w:t>区、街</w:t>
      </w:r>
      <w:r>
        <w:rPr>
          <w:rFonts w:hint="eastAsia" w:ascii="Times New Roman" w:hAnsi="Times New Roman" w:eastAsia="方正仿宋_GBK" w:cs="方正仿宋_GBK"/>
          <w:sz w:val="32"/>
          <w:szCs w:val="32"/>
        </w:rPr>
        <w:t>道、园区）、村（社区）应积极推动并协助充电设施安装运营单位实施安装建设，物业服务企业应积极协助配合。（</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住房和城乡建设局牵头负责，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配合）</w:t>
      </w:r>
    </w:p>
    <w:p w14:paraId="036F3B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加强共享电动自行车充电场所消防验收备案工作。依法查处共享电动自行车运营企业消防安全违法行为。（</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住房和城乡建设局、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牵头负责）</w:t>
      </w:r>
    </w:p>
    <w:p w14:paraId="45B58C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推动有条件的停放充电场所建设微型消防站，配备具有辅助呼吸防护能力的背负式新能源处置特种灭火装置，切实提升“灭早、灭小、灭初期”效能。（</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牵头负责）</w:t>
      </w:r>
    </w:p>
    <w:p w14:paraId="5250C3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积极推动机关团体、企事业单位按照标准建设停放场所、充电设施，提供“满电回家”服务。（</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住房和城乡建设局牵头负责，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机关事务</w:t>
      </w:r>
      <w:r>
        <w:rPr>
          <w:rFonts w:hint="eastAsia" w:ascii="Times New Roman" w:hAnsi="Times New Roman" w:eastAsia="方正仿宋_GBK" w:cs="方正仿宋_GBK"/>
          <w:sz w:val="32"/>
          <w:szCs w:val="32"/>
          <w:lang w:val="en-US" w:eastAsia="zh-CN"/>
        </w:rPr>
        <w:t>服务中心</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县财政局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工业和信息化局等行业主管部门配合）</w:t>
      </w:r>
    </w:p>
    <w:p w14:paraId="5C170C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rPr>
        <w:t>．突出架空层使用管理。民用建筑架空层不具备消防安全条件的，不得用作电动自行车停放充电场所。因场地不足确需使用民用建筑架空层作为停放充电场所的，应与建筑内的通风采光井、公共部位、疏散通道、楼梯间、安全出口等进行有效防火分隔，保持消防设施器材和视频监控设备完好有效，实行车辆分组停放，安装符合安全条件的专用充电设施。建筑产权单位、使用单位、居住区物业服务企业负责做好架空层日常安全巡查工作。（</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住房和城乡建设局配合）</w:t>
      </w:r>
    </w:p>
    <w:p w14:paraId="4370D2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val="en-US" w:eastAsia="zh-CN"/>
        </w:rPr>
        <w:t>3</w:t>
      </w:r>
      <w:r>
        <w:rPr>
          <w:rFonts w:hint="eastAsia" w:ascii="Times New Roman" w:hAnsi="Times New Roman" w:eastAsia="方正仿宋_GBK" w:cs="方正仿宋_GBK"/>
          <w:sz w:val="32"/>
          <w:szCs w:val="32"/>
        </w:rPr>
        <w:t>．严查违规停放充电行为。消防、公安</w:t>
      </w:r>
      <w:r>
        <w:rPr>
          <w:rFonts w:hint="eastAsia" w:ascii="Times New Roman" w:hAnsi="Times New Roman" w:eastAsia="方正仿宋_GBK" w:cs="方正仿宋_GBK"/>
          <w:sz w:val="32"/>
          <w:szCs w:val="32"/>
          <w:lang w:val="en-US" w:eastAsia="zh-CN"/>
        </w:rPr>
        <w:t>、住建</w:t>
      </w:r>
      <w:r>
        <w:rPr>
          <w:rFonts w:hint="eastAsia" w:ascii="Times New Roman" w:hAnsi="Times New Roman" w:eastAsia="方正仿宋_GBK" w:cs="方正仿宋_GBK"/>
          <w:sz w:val="32"/>
          <w:szCs w:val="32"/>
        </w:rPr>
        <w:t>等部门加强联合检查，依法对电动自行车“进楼入户”“飞线充电”等，尤其是在高层民用建筑的公共门厅、疏散走道、楼梯间、安全出口停放充电的行为，开展执法查处、检查劝阻和宣传提示。组织排查既有居民住宅小区电动自行车地下半地下停放充电场所，对不符合安全条件的结合实际提出整改要求。住房城乡建设部门应督促物业服务企业对电动自行车堵塞占用疏散通道、安全出口等违规行为及时采取措施制止，对拒不改正、情节严重的及时报告村（居）民委员会、镇（</w:t>
      </w:r>
      <w:r>
        <w:rPr>
          <w:rFonts w:hint="eastAsia" w:ascii="Times New Roman" w:hAnsi="Times New Roman" w:eastAsia="方正仿宋_GBK" w:cs="方正仿宋_GBK"/>
          <w:sz w:val="32"/>
          <w:szCs w:val="32"/>
          <w:lang w:val="en-US" w:eastAsia="zh-CN"/>
        </w:rPr>
        <w:t>区、</w:t>
      </w:r>
      <w:r>
        <w:rPr>
          <w:rFonts w:hint="eastAsia" w:ascii="Times New Roman" w:hAnsi="Times New Roman" w:eastAsia="方正仿宋_GBK" w:cs="方正仿宋_GBK"/>
          <w:sz w:val="32"/>
          <w:szCs w:val="32"/>
        </w:rPr>
        <w:t>街道、园区）</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公安派出所、消防等部门并协助处理。对群众举报、媒体曝光的违规停放充电行为，应及时予以纠治。（</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住房和城乡建设局、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公安局配合）</w:t>
      </w:r>
    </w:p>
    <w:p w14:paraId="6555A5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val="en-US" w:eastAsia="zh-CN"/>
        </w:rPr>
        <w:t>4</w:t>
      </w:r>
      <w:r>
        <w:rPr>
          <w:rFonts w:hint="eastAsia" w:ascii="Times New Roman" w:hAnsi="Times New Roman" w:eastAsia="方正仿宋_GBK" w:cs="方正仿宋_GBK"/>
          <w:sz w:val="32"/>
          <w:szCs w:val="32"/>
        </w:rPr>
        <w:t>．合理确定充电费用。指导督促电力企业主动承建充电设施，减收、免收服务费。居民住宅小区充电电价一律按居民合表用户电价执行，引导企业合理确定充电服务费标准。加大电动自行车充电设施转供电环节违规加价查处力度，指导运营方实行明码标价，区分电费和服务费标准并公示，不得收取任何未经公示的费用。鼓励采取财政补贴、延长签约运营期等方式，引导国资和社会力量积极参与充电设施建设，大幅降低充电服务费用，让群众“能承担”“愿意用”。建筑产权单位、使用单位和居住区物业服务企业应积极创造条件帮助降低充电服务价格，鼓励免收场地租金或免于收入分成。（</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发展和改革委员会牵头负责，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住房和城乡建设局、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县财政局</w:t>
      </w:r>
      <w:r>
        <w:rPr>
          <w:rFonts w:hint="eastAsia" w:ascii="Times New Roman" w:hAnsi="Times New Roman" w:eastAsia="方正仿宋_GBK" w:cs="方正仿宋_GBK"/>
          <w:sz w:val="32"/>
          <w:szCs w:val="32"/>
        </w:rPr>
        <w:t>配合）</w:t>
      </w:r>
    </w:p>
    <w:p w14:paraId="6BBEBE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按照国家提升“获得电力”服务水平“三零”政策要求和相关标准规定，做好充电设施报装接电服务工作。（</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供电公司牵头负责）</w:t>
      </w:r>
    </w:p>
    <w:p w14:paraId="07136C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val="en-US" w:eastAsia="zh-CN"/>
        </w:rPr>
        <w:t>5</w:t>
      </w:r>
      <w:r>
        <w:rPr>
          <w:rFonts w:hint="eastAsia" w:ascii="Times New Roman" w:hAnsi="Times New Roman" w:eastAsia="方正仿宋_GBK" w:cs="方正仿宋_GBK"/>
          <w:sz w:val="32"/>
          <w:szCs w:val="32"/>
        </w:rPr>
        <w:t>．强化技防物防措施应用。引导充电设施建设运营单位建立数据平台，对充电设施实时监控，2025年底前完成。鼓励充电设施运营单位推广共享换电模式。鼓励在楼宇电梯安装智能阻止系统，推广应用“射频信号传输+视频监控”等技术对电动自行车（蓄电池）进楼实行动态监控，及时发现制止违规停放充电行为。（</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住房和城乡建设局配合）</w:t>
      </w:r>
    </w:p>
    <w:p w14:paraId="1553D2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（五）加大老旧蓄电池报废回收力度</w:t>
      </w:r>
    </w:p>
    <w:p w14:paraId="406934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val="en-US" w:eastAsia="zh-CN"/>
        </w:rPr>
        <w:t>6</w:t>
      </w:r>
      <w:r>
        <w:rPr>
          <w:rFonts w:hint="eastAsia" w:ascii="Times New Roman" w:hAnsi="Times New Roman" w:eastAsia="方正仿宋_GBK" w:cs="方正仿宋_GBK"/>
          <w:sz w:val="32"/>
          <w:szCs w:val="32"/>
        </w:rPr>
        <w:t>．大力推行以旧换新。积极落实国家关于推动大规模设备更新和消费品以旧换新统一部署，细化支持政策，推动电动自行车及蓄电池以旧换新，引导老旧、非标、临时信息牌电动自行车退出。鼓励通过财政补贴、企业让利、金融支持等措施推动以旧换新，支持电动自行车销售企业、生产企业、回收企业联合开展以旧换新促销活动，鼓励发放换新消费券。（</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商务局</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县公安局、县市场监督管理局、县</w:t>
      </w:r>
      <w:r>
        <w:rPr>
          <w:rFonts w:hint="eastAsia" w:ascii="Times New Roman" w:hAnsi="Times New Roman" w:eastAsia="方正仿宋_GBK" w:cs="方正仿宋_GBK"/>
          <w:sz w:val="32"/>
          <w:szCs w:val="32"/>
        </w:rPr>
        <w:t>工业和信息化局等部门</w:t>
      </w:r>
      <w:r>
        <w:rPr>
          <w:rFonts w:hint="eastAsia" w:ascii="Times New Roman" w:hAnsi="Times New Roman" w:eastAsia="方正仿宋_GBK" w:cs="方正仿宋_GBK"/>
          <w:sz w:val="32"/>
          <w:szCs w:val="32"/>
          <w:lang w:val="en-US" w:eastAsia="zh-CN"/>
        </w:rPr>
        <w:t>按职责分工负责</w:t>
      </w:r>
      <w:r>
        <w:rPr>
          <w:rFonts w:hint="eastAsia" w:ascii="Times New Roman" w:hAnsi="Times New Roman" w:eastAsia="方正仿宋_GBK" w:cs="方正仿宋_GBK"/>
          <w:sz w:val="32"/>
          <w:szCs w:val="32"/>
        </w:rPr>
        <w:t>）</w:t>
      </w:r>
    </w:p>
    <w:p w14:paraId="6A6C85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val="en-US" w:eastAsia="zh-CN"/>
        </w:rPr>
        <w:t>7</w:t>
      </w:r>
      <w:r>
        <w:rPr>
          <w:rFonts w:hint="eastAsia" w:ascii="Times New Roman" w:hAnsi="Times New Roman" w:eastAsia="方正仿宋_GBK" w:cs="方正仿宋_GBK"/>
          <w:sz w:val="32"/>
          <w:szCs w:val="32"/>
        </w:rPr>
        <w:t>．健全报废回收体系。严格落实老旧蓄电池国家强制性报废标准，建立完善报废回收体系，科学规范开展回收拆解，促进可再生资源循环利用。优化蓄电池检测技术服务机构站点布局，鼓励电动自行车销售网点提供免费检查服务，引导群众主动送检，及时淘汰更换老旧蓄电池；对超过生产日期5年的蓄电池开展全面强制安全性评估，达到报废条件的一律强制报废，2025年6月底前取得阶段性成效并持续推进。落实生产者责任延伸制度，依托电动自行车销售网络及现有铅酸蓄电池回收渠道，推动生产企业以自建、委托等方式建立锂离子蓄电池回收利用体系，并向社会公开网点设置，提供更换、回收服务，试点培育骨干再生利用企业。进一步完善现有铅酸蓄电池回收利用体系，</w:t>
      </w:r>
      <w:r>
        <w:rPr>
          <w:rFonts w:hint="eastAsia" w:ascii="Times New Roman" w:hAnsi="Times New Roman" w:eastAsia="方正仿宋_GBK" w:cs="方正仿宋_GBK"/>
          <w:sz w:val="32"/>
          <w:szCs w:val="32"/>
          <w:lang w:val="en-US" w:eastAsia="zh-CN"/>
        </w:rPr>
        <w:t>督促电动自行车销售网点悬挂废铅蓄电池收集网点标识，</w:t>
      </w:r>
      <w:r>
        <w:rPr>
          <w:rFonts w:hint="eastAsia" w:ascii="Times New Roman" w:hAnsi="Times New Roman" w:eastAsia="方正仿宋_GBK" w:cs="方正仿宋_GBK"/>
          <w:sz w:val="32"/>
          <w:szCs w:val="32"/>
        </w:rPr>
        <w:t>提高工作效能。充分发挥</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属企业引领带动作用，促进老旧蓄电池规范回收处理。（</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工业和信息化局、</w:t>
      </w:r>
      <w:r>
        <w:rPr>
          <w:rFonts w:hint="eastAsia" w:ascii="Times New Roman" w:hAnsi="Times New Roman" w:eastAsia="方正仿宋_GBK" w:cs="方正仿宋_GBK"/>
          <w:sz w:val="32"/>
          <w:szCs w:val="32"/>
          <w:lang w:val="en-US" w:eastAsia="zh-CN"/>
        </w:rPr>
        <w:t>盐城市滨海生态环境局</w:t>
      </w:r>
      <w:r>
        <w:rPr>
          <w:rFonts w:hint="eastAsia" w:ascii="Times New Roman" w:hAnsi="Times New Roman" w:eastAsia="方正仿宋_GBK" w:cs="方正仿宋_GBK"/>
          <w:sz w:val="32"/>
          <w:szCs w:val="32"/>
        </w:rPr>
        <w:t>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发展和改革委员会、</w:t>
      </w:r>
      <w:r>
        <w:rPr>
          <w:rFonts w:hint="eastAsia" w:ascii="Times New Roman" w:hAnsi="Times New Roman" w:eastAsia="方正仿宋_GBK" w:cs="方正仿宋_GBK"/>
          <w:sz w:val="32"/>
          <w:szCs w:val="32"/>
          <w:lang w:val="en-US" w:eastAsia="zh-CN"/>
        </w:rPr>
        <w:t>县财政局</w:t>
      </w:r>
      <w:r>
        <w:rPr>
          <w:rFonts w:hint="eastAsia" w:ascii="Times New Roman" w:hAnsi="Times New Roman" w:eastAsia="方正仿宋_GBK" w:cs="方正仿宋_GBK"/>
          <w:sz w:val="32"/>
          <w:szCs w:val="32"/>
        </w:rPr>
        <w:t>配合）</w:t>
      </w:r>
    </w:p>
    <w:p w14:paraId="03E267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（六）严格电动自行车安全事故溯源追责</w:t>
      </w:r>
    </w:p>
    <w:p w14:paraId="509000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r>
        <w:rPr>
          <w:rFonts w:hint="eastAsia" w:ascii="Times New Roman" w:hAnsi="Times New Roman" w:eastAsia="方正仿宋_GBK" w:cs="方正仿宋_GBK"/>
          <w:sz w:val="32"/>
          <w:szCs w:val="32"/>
          <w:lang w:val="en-US" w:eastAsia="zh-CN"/>
        </w:rPr>
        <w:t>8</w:t>
      </w:r>
      <w:r>
        <w:rPr>
          <w:rFonts w:hint="eastAsia" w:ascii="Times New Roman" w:hAnsi="Times New Roman" w:eastAsia="方正仿宋_GBK" w:cs="方正仿宋_GBK"/>
          <w:sz w:val="32"/>
          <w:szCs w:val="32"/>
        </w:rPr>
        <w:t>．建立责任倒查机制。运用“一车一池一充一码”识别代码和电动自行车登记信息管理系统，强化信息共享，提高事故后溯源调查能力。建立电动自行车亡人事故责任倒查机制，有关部门将生产、销售、改装、停放、充电等各环节发现的违法违规线索及时移交并配合公安、消防、市场监管等部门开展调查，必要时开展联合执法，造成重大影响的依法追责。整治期间发生电动自行车亡人火灾事故的一律提级调查，发生电动自行车道路交通亡人事故一律开展深度调查。（</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应急管理局、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工业和信息化局、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商务局配合）</w:t>
      </w:r>
    </w:p>
    <w:p w14:paraId="0C943B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19</w:t>
      </w:r>
      <w:r>
        <w:rPr>
          <w:rFonts w:hint="eastAsia" w:ascii="Times New Roman" w:hAnsi="Times New Roman" w:eastAsia="方正仿宋_GBK" w:cs="方正仿宋_GBK"/>
          <w:sz w:val="32"/>
          <w:szCs w:val="32"/>
        </w:rPr>
        <w:t>．加大联合惩戒力度。市场监管、工业和信息化、公安等部门对违法违规生产销售电动自行车及蓄电池，违法违规回收、二次组装加工蓄电池，违规提供拼装改装服务及部件的企业或个人，依法依规予以曝光。消防部门对引发火灾事故的电动自行车、蓄电池品牌及型号按照规定进行曝光。严重违法企业单位和责任人员依法列入相关严重失信主体名单。（</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牵头负责，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工业和信息化局、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公安局配合）</w:t>
      </w:r>
    </w:p>
    <w:p w14:paraId="43DD56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督促销售网点和维修店铺依法依规回收、转移废旧铅酸蓄电池，从严查处擅自拆开铅酸蓄电池盖片加液等违法违规行为，严厉打击不按规定执行危险废物转移联单等违法行为。（</w:t>
      </w:r>
      <w:r>
        <w:rPr>
          <w:rFonts w:hint="eastAsia" w:ascii="Times New Roman" w:hAnsi="Times New Roman" w:eastAsia="方正仿宋_GBK" w:cs="方正仿宋_GBK"/>
          <w:sz w:val="32"/>
          <w:szCs w:val="32"/>
          <w:lang w:val="en-US" w:eastAsia="zh-CN"/>
        </w:rPr>
        <w:t>盐城市滨海生态环境局</w:t>
      </w:r>
      <w:r>
        <w:rPr>
          <w:rFonts w:hint="eastAsia" w:ascii="Times New Roman" w:hAnsi="Times New Roman" w:eastAsia="方正仿宋_GBK" w:cs="方正仿宋_GBK"/>
          <w:sz w:val="32"/>
          <w:szCs w:val="32"/>
        </w:rPr>
        <w:t>牵头负责）</w:t>
      </w:r>
    </w:p>
    <w:p w14:paraId="0A7432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（七）加强电动自行车社会共治</w:t>
      </w:r>
    </w:p>
    <w:p w14:paraId="715850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w:t>
      </w:r>
      <w:r>
        <w:rPr>
          <w:rFonts w:hint="eastAsia" w:ascii="Times New Roman" w:hAnsi="Times New Roman" w:eastAsia="方正仿宋_GBK" w:cs="方正仿宋_GBK"/>
          <w:sz w:val="32"/>
          <w:szCs w:val="32"/>
          <w:lang w:val="en-US" w:eastAsia="zh-CN"/>
        </w:rPr>
        <w:t>0</w:t>
      </w:r>
      <w:r>
        <w:rPr>
          <w:rFonts w:hint="eastAsia" w:ascii="Times New Roman" w:hAnsi="Times New Roman" w:eastAsia="方正仿宋_GBK" w:cs="方正仿宋_GBK"/>
          <w:sz w:val="32"/>
          <w:szCs w:val="32"/>
        </w:rPr>
        <w:t>．提升齐抓共管合力。按照“三管三必须”要求，督促指导各类学校、民政服务机构、建筑工地、客运场站、商业综合体、文化旅游场所、医疗卫生机构等，推进电动自行车停放充电场所建设，排查整治违规停放充电等行为，定期开展疏散演练。（</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教育局、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民政局、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住房和城乡建设局、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交通运输局、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商务局、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文化广电和旅游局、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卫生和健康委员会等行业主管部门负责）</w:t>
      </w:r>
    </w:p>
    <w:p w14:paraId="4AF554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积极推动机关团体、企事业单位摸排本单位职工车辆使用情况，引导非标电动自行车使用人尽快淘汰换新，督促全体职工驾乘电动自行车佩戴安全头盔、遵守交通法规，并按规定上牌。（</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各部门、单位组织落实）</w:t>
      </w:r>
    </w:p>
    <w:p w14:paraId="2C422B1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严格落实散装液体危险货物船舶上电动自行车存放充电相关监管要求，严厉打击违法违规行为。（</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交通运输局、</w:t>
      </w:r>
      <w:r>
        <w:rPr>
          <w:rFonts w:hint="eastAsia" w:ascii="Times New Roman" w:hAnsi="Times New Roman" w:eastAsia="方正仿宋_GBK" w:cs="方正仿宋_GBK"/>
          <w:sz w:val="32"/>
          <w:szCs w:val="32"/>
          <w:lang w:val="en-US" w:eastAsia="zh-CN"/>
        </w:rPr>
        <w:t>盐城滨海</w:t>
      </w:r>
      <w:r>
        <w:rPr>
          <w:rFonts w:hint="eastAsia" w:ascii="Times New Roman" w:hAnsi="Times New Roman" w:eastAsia="方正仿宋_GBK" w:cs="方正仿宋_GBK"/>
          <w:sz w:val="32"/>
          <w:szCs w:val="32"/>
        </w:rPr>
        <w:t>海事</w:t>
      </w:r>
      <w:r>
        <w:rPr>
          <w:rFonts w:hint="eastAsia" w:ascii="Times New Roman" w:hAnsi="Times New Roman" w:eastAsia="方正仿宋_GBK" w:cs="方正仿宋_GBK"/>
          <w:sz w:val="32"/>
          <w:szCs w:val="32"/>
          <w:lang w:val="en-US" w:eastAsia="zh-CN"/>
        </w:rPr>
        <w:t>处</w:t>
      </w:r>
      <w:r>
        <w:rPr>
          <w:rFonts w:hint="eastAsia" w:ascii="Times New Roman" w:hAnsi="Times New Roman" w:eastAsia="方正仿宋_GBK" w:cs="方正仿宋_GBK"/>
          <w:sz w:val="32"/>
          <w:szCs w:val="32"/>
        </w:rPr>
        <w:t>牵头负责）</w:t>
      </w:r>
    </w:p>
    <w:p w14:paraId="756531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w:t>
      </w:r>
      <w:r>
        <w:rPr>
          <w:rFonts w:hint="eastAsia" w:ascii="Times New Roman" w:hAnsi="Times New Roman" w:eastAsia="方正仿宋_GBK" w:cs="方正仿宋_GBK"/>
          <w:sz w:val="32"/>
          <w:szCs w:val="32"/>
          <w:lang w:val="en-US" w:eastAsia="zh-CN"/>
        </w:rPr>
        <w:t>1</w:t>
      </w:r>
      <w:r>
        <w:rPr>
          <w:rFonts w:hint="eastAsia" w:ascii="Times New Roman" w:hAnsi="Times New Roman" w:eastAsia="方正仿宋_GBK" w:cs="方正仿宋_GBK"/>
          <w:sz w:val="32"/>
          <w:szCs w:val="32"/>
        </w:rPr>
        <w:t>．将电动自行车安全纳入网格化管理。督促社会单位和基层组织、居民住宅小区等开展电动自行车消防安全巡查检查和交通安全劝导，引导群众淘汰置换存在安全风险的老旧电动自行车，并按规定上牌。定期排查停放场所周围堆放可燃物、内天井和公共门厅未设置防火分隔、管道竖井封堵不严、疏散通道堵塞等消防安全隐患，严防火灾风险叠加。〔各</w:t>
      </w:r>
      <w:r>
        <w:rPr>
          <w:rFonts w:hint="eastAsia" w:ascii="Times New Roman" w:hAnsi="Times New Roman" w:eastAsia="方正仿宋_GBK" w:cs="方正仿宋_GBK"/>
          <w:sz w:val="32"/>
          <w:szCs w:val="32"/>
          <w:lang w:val="en-US" w:eastAsia="zh-CN"/>
        </w:rPr>
        <w:t>镇（区、街道、园区）</w:t>
      </w:r>
      <w:r>
        <w:rPr>
          <w:rFonts w:hint="eastAsia" w:ascii="Times New Roman" w:hAnsi="Times New Roman" w:eastAsia="方正仿宋_GBK" w:cs="方正仿宋_GBK"/>
          <w:sz w:val="32"/>
          <w:szCs w:val="32"/>
        </w:rPr>
        <w:t>组织落实〕</w:t>
      </w:r>
    </w:p>
    <w:p w14:paraId="14DFC2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rPr>
        <w:t>．加强警示宣传教育。广泛宣传电动自行车停放充电和事故防范知识，强化案例警示教育，在电梯、楼道入口等处播放张贴安全提示。学校将电动自行车交通安全和消防安全教育纳入法治宣传内容，发挥“小手拉大手”宣传作用。新闻出版、广播电视、报刊杂志等主流媒体开展安全公益宣传。鼓励群众举报电动自行车安全隐患和违法线索，强化社会监督。（</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委宣传部、</w:t>
      </w:r>
      <w:r>
        <w:rPr>
          <w:rFonts w:hint="eastAsia" w:ascii="Times New Roman" w:hAnsi="Times New Roman" w:eastAsia="方正仿宋_GBK" w:cs="方正仿宋_GBK"/>
          <w:sz w:val="32"/>
          <w:szCs w:val="32"/>
          <w:lang w:val="en-US" w:eastAsia="zh-CN"/>
        </w:rPr>
        <w:t>县融媒体中心、县</w:t>
      </w:r>
      <w:r>
        <w:rPr>
          <w:rFonts w:hint="eastAsia" w:ascii="Times New Roman" w:hAnsi="Times New Roman" w:eastAsia="方正仿宋_GBK" w:cs="方正仿宋_GBK"/>
          <w:sz w:val="32"/>
          <w:szCs w:val="32"/>
        </w:rPr>
        <w:t>教育局、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等部门牵头负责）</w:t>
      </w:r>
    </w:p>
    <w:p w14:paraId="2641DB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三、工作要求</w:t>
      </w:r>
    </w:p>
    <w:p w14:paraId="176237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级层面在前期成立的电动自行车消防安全专项整治工作专班（以下简称“消防安全专项整治工作专班”）和电动自行车道路交通安全整治专班（以下简称“道路交通安全整治专班”）的基础上，根据省</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市</w:t>
      </w:r>
      <w:r>
        <w:rPr>
          <w:rFonts w:hint="eastAsia" w:ascii="Times New Roman" w:hAnsi="Times New Roman" w:eastAsia="方正仿宋_GBK" w:cs="方正仿宋_GBK"/>
          <w:sz w:val="32"/>
          <w:szCs w:val="32"/>
        </w:rPr>
        <w:t>统一部署安排，成立电动自行车安全隐患全链条整治工作指挥部（以下简称“指挥部”），负责统筹协调、推进落实全</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电动自行车安全隐患全链条整治行动。指挥部办公室设在</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，牵头负责电动自行车安全隐患全链条整治日常工作，</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应急管理局、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为召集人单位，</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工业和信息化局、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公安局、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住房和城乡建设局、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lang w:eastAsia="zh-CN"/>
        </w:rPr>
        <w:t>市场监督管理局</w:t>
      </w:r>
      <w:r>
        <w:rPr>
          <w:rFonts w:hint="eastAsia" w:ascii="Times New Roman" w:hAnsi="Times New Roman" w:eastAsia="方正仿宋_GBK" w:cs="方正仿宋_GBK"/>
          <w:sz w:val="32"/>
          <w:szCs w:val="32"/>
        </w:rPr>
        <w:t>为副召集人单位，成员由</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发展和改革委员会、</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教育局、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民政局、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自然资源和规划局、</w:t>
      </w:r>
      <w:r>
        <w:rPr>
          <w:rFonts w:hint="eastAsia" w:ascii="Times New Roman" w:hAnsi="Times New Roman" w:eastAsia="方正仿宋_GBK" w:cs="方正仿宋_GBK"/>
          <w:sz w:val="32"/>
          <w:szCs w:val="32"/>
          <w:lang w:val="en-US" w:eastAsia="zh-CN"/>
        </w:rPr>
        <w:t>盐城市滨海生态环境局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交通运输局、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商务局、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文化广电和旅游局、</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卫生和健康委员会、</w:t>
      </w:r>
      <w:r>
        <w:rPr>
          <w:rFonts w:hint="eastAsia" w:ascii="Times New Roman" w:hAnsi="Times New Roman" w:eastAsia="方正仿宋_GBK" w:cs="方正仿宋_GBK"/>
          <w:sz w:val="32"/>
          <w:szCs w:val="32"/>
          <w:lang w:val="en-US" w:eastAsia="zh-CN"/>
        </w:rPr>
        <w:t>县财政局</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机关事务</w:t>
      </w:r>
      <w:r>
        <w:rPr>
          <w:rFonts w:hint="eastAsia" w:ascii="Times New Roman" w:hAnsi="Times New Roman" w:eastAsia="方正仿宋_GBK" w:cs="方正仿宋_GBK"/>
          <w:sz w:val="32"/>
          <w:szCs w:val="32"/>
          <w:lang w:val="en-US" w:eastAsia="zh-CN"/>
        </w:rPr>
        <w:t>服务中心</w:t>
      </w:r>
      <w:r>
        <w:rPr>
          <w:rFonts w:hint="eastAsia" w:ascii="Times New Roman" w:hAnsi="Times New Roman" w:eastAsia="方正仿宋_GBK" w:cs="方正仿宋_GBK"/>
          <w:sz w:val="32"/>
          <w:szCs w:val="32"/>
        </w:rPr>
        <w:t>，盐城</w:t>
      </w:r>
      <w:r>
        <w:rPr>
          <w:rFonts w:hint="eastAsia" w:ascii="Times New Roman" w:hAnsi="Times New Roman" w:eastAsia="方正仿宋_GBK" w:cs="方正仿宋_GBK"/>
          <w:sz w:val="32"/>
          <w:szCs w:val="32"/>
          <w:lang w:val="en-US" w:eastAsia="zh-CN"/>
        </w:rPr>
        <w:t>滨海</w:t>
      </w:r>
      <w:r>
        <w:rPr>
          <w:rFonts w:hint="eastAsia" w:ascii="Times New Roman" w:hAnsi="Times New Roman" w:eastAsia="方正仿宋_GBK" w:cs="方正仿宋_GBK"/>
          <w:sz w:val="32"/>
          <w:szCs w:val="32"/>
        </w:rPr>
        <w:t>海事</w:t>
      </w:r>
      <w:r>
        <w:rPr>
          <w:rFonts w:hint="eastAsia" w:ascii="Times New Roman" w:hAnsi="Times New Roman" w:eastAsia="方正仿宋_GBK" w:cs="方正仿宋_GBK"/>
          <w:sz w:val="32"/>
          <w:szCs w:val="32"/>
          <w:lang w:val="en-US" w:eastAsia="zh-CN"/>
        </w:rPr>
        <w:t>处</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滨海</w:t>
      </w:r>
      <w:r>
        <w:rPr>
          <w:rFonts w:hint="eastAsia" w:ascii="Times New Roman" w:hAnsi="Times New Roman" w:eastAsia="方正仿宋_GBK" w:cs="方正仿宋_GBK"/>
          <w:sz w:val="32"/>
          <w:szCs w:val="32"/>
        </w:rPr>
        <w:t>供电公司等部门单位组成。消防安全专项整治工作专班办公室和道路交通安全整治专班办公室在指挥部领导下，统筹开展全</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电动自行车消防安全专项整治工作和电动自行车道路交通安全整治工作，跟踪督促各项任务的推进落实，同时完成指挥部交办的其他事项。</w:t>
      </w:r>
    </w:p>
    <w:p w14:paraId="5032EC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各</w:t>
      </w:r>
      <w:r>
        <w:rPr>
          <w:rFonts w:hint="eastAsia" w:ascii="Times New Roman" w:hAnsi="Times New Roman" w:eastAsia="方正仿宋_GBK" w:cs="方正仿宋_GBK"/>
          <w:sz w:val="32"/>
          <w:szCs w:val="32"/>
          <w:lang w:val="en-US" w:eastAsia="zh-CN"/>
        </w:rPr>
        <w:t>镇</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区、街道、园区</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要严格落实</w:t>
      </w:r>
      <w:r>
        <w:rPr>
          <w:rFonts w:hint="eastAsia" w:ascii="Times New Roman" w:hAnsi="Times New Roman" w:eastAsia="方正仿宋_GBK" w:cs="方正仿宋_GBK"/>
          <w:sz w:val="32"/>
          <w:szCs w:val="32"/>
          <w:lang w:val="en-US" w:eastAsia="zh-CN"/>
        </w:rPr>
        <w:t>属地</w:t>
      </w:r>
      <w:r>
        <w:rPr>
          <w:rFonts w:hint="eastAsia" w:ascii="Times New Roman" w:hAnsi="Times New Roman" w:eastAsia="方正仿宋_GBK" w:cs="方正仿宋_GBK"/>
          <w:sz w:val="32"/>
          <w:szCs w:val="32"/>
        </w:rPr>
        <w:t>责任，建立工作机制，细化实施方案，压实工作责任。</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各有关部门和单位要切实加强全链条安全监管，强化会商研判、信息共享、协同防控、联合执法等措施落实。要加强工作督导，将整治行动完成情况纳入有关督导检查和考核内容，对工作进展缓慢、推诿扯皮的，予以通报、约谈。</w:t>
      </w:r>
    </w:p>
    <w:p w14:paraId="0BE8B2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请各</w:t>
      </w:r>
      <w:r>
        <w:rPr>
          <w:rFonts w:hint="eastAsia" w:ascii="Times New Roman" w:hAnsi="Times New Roman" w:eastAsia="方正仿宋_GBK" w:cs="方正仿宋_GBK"/>
          <w:sz w:val="32"/>
          <w:szCs w:val="32"/>
          <w:lang w:val="en-US" w:eastAsia="zh-CN"/>
        </w:rPr>
        <w:t>镇（区、街道、园区）、县各有关部门和单位</w:t>
      </w:r>
      <w:r>
        <w:rPr>
          <w:rFonts w:hint="eastAsia" w:ascii="Times New Roman" w:hAnsi="Times New Roman" w:eastAsia="方正仿宋_GBK" w:cs="方正仿宋_GBK"/>
          <w:sz w:val="32"/>
          <w:szCs w:val="32"/>
        </w:rPr>
        <w:t>于2024年</w:t>
      </w:r>
      <w:r>
        <w:rPr>
          <w:rFonts w:hint="eastAsia" w:ascii="Times New Roman" w:hAnsi="Times New Roman" w:eastAsia="方正仿宋_GBK" w:cs="方正仿宋_GBK"/>
          <w:sz w:val="32"/>
          <w:szCs w:val="32"/>
          <w:lang w:val="en-US" w:eastAsia="zh-CN"/>
        </w:rPr>
        <w:t>8</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25</w:t>
      </w:r>
      <w:r>
        <w:rPr>
          <w:rFonts w:hint="eastAsia" w:ascii="Times New Roman" w:hAnsi="Times New Roman" w:eastAsia="方正仿宋_GBK" w:cs="方正仿宋_GBK"/>
          <w:sz w:val="32"/>
          <w:szCs w:val="32"/>
        </w:rPr>
        <w:t>日前将整治方案及工作机制负责人、联络员名单报</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指挥部，自2024年</w:t>
      </w:r>
      <w:r>
        <w:rPr>
          <w:rFonts w:hint="eastAsia" w:ascii="Times New Roman" w:hAnsi="Times New Roman" w:eastAsia="方正仿宋_GBK" w:cs="方正仿宋_GBK"/>
          <w:sz w:val="32"/>
          <w:szCs w:val="32"/>
          <w:lang w:val="en-US" w:eastAsia="zh-CN"/>
        </w:rPr>
        <w:t>8</w:t>
      </w:r>
      <w:r>
        <w:rPr>
          <w:rFonts w:hint="eastAsia" w:ascii="Times New Roman" w:hAnsi="Times New Roman" w:eastAsia="方正仿宋_GBK" w:cs="方正仿宋_GBK"/>
          <w:sz w:val="32"/>
          <w:szCs w:val="32"/>
        </w:rPr>
        <w:t>月起，每月25日前报送工作进展情况。</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指挥部联系人：</w:t>
      </w:r>
      <w:r>
        <w:rPr>
          <w:rFonts w:hint="eastAsia" w:ascii="Times New Roman" w:hAnsi="Times New Roman" w:eastAsia="方正仿宋_GBK" w:cs="方正仿宋_GBK"/>
          <w:sz w:val="32"/>
          <w:szCs w:val="32"/>
          <w:lang w:val="en-US" w:eastAsia="zh-CN"/>
        </w:rPr>
        <w:t>陆寅</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县</w:t>
      </w:r>
      <w:r>
        <w:rPr>
          <w:rFonts w:hint="eastAsia" w:ascii="Times New Roman" w:hAnsi="Times New Roman" w:eastAsia="方正仿宋_GBK" w:cs="方正仿宋_GBK"/>
          <w:sz w:val="32"/>
          <w:szCs w:val="32"/>
        </w:rPr>
        <w:t>消防救援</w:t>
      </w:r>
      <w:r>
        <w:rPr>
          <w:rFonts w:hint="eastAsia" w:ascii="Times New Roman" w:hAnsi="Times New Roman" w:eastAsia="方正仿宋_GBK" w:cs="方正仿宋_GBK"/>
          <w:sz w:val="32"/>
          <w:szCs w:val="32"/>
          <w:lang w:val="en-US" w:eastAsia="zh-CN"/>
        </w:rPr>
        <w:t>局</w:t>
      </w:r>
      <w:r>
        <w:rPr>
          <w:rFonts w:hint="eastAsia" w:ascii="Times New Roman" w:hAnsi="Times New Roman" w:eastAsia="方正仿宋_GBK" w:cs="方正仿宋_GBK"/>
          <w:sz w:val="32"/>
          <w:szCs w:val="32"/>
        </w:rPr>
        <w:t>）；电话：18205106005；邮箱：bhxf01@163.com。</w:t>
      </w:r>
    </w:p>
    <w:p w14:paraId="364D78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方正仿宋_GBK"/>
          <w:sz w:val="32"/>
          <w:szCs w:val="32"/>
        </w:rPr>
      </w:pPr>
    </w:p>
    <w:p w14:paraId="37A0E5FB">
      <w:pP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br w:type="page"/>
      </w:r>
    </w:p>
    <w:p w14:paraId="02EB683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rPr>
      </w:pPr>
      <w:bookmarkStart w:id="0" w:name="_GoBack"/>
      <w:bookmarkEnd w:id="0"/>
    </w:p>
    <w:p w14:paraId="5F2F71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小标宋_GBK"/>
          <w:sz w:val="44"/>
          <w:szCs w:val="44"/>
          <w:highlight w:val="none"/>
        </w:rPr>
      </w:pPr>
      <w:r>
        <w:rPr>
          <w:rFonts w:eastAsia="方正小标宋_GBK"/>
          <w:sz w:val="44"/>
          <w:szCs w:val="44"/>
          <w:highlight w:val="none"/>
        </w:rPr>
        <w:t>关于进一步加强化工和危险化学品安全</w:t>
      </w:r>
    </w:p>
    <w:p w14:paraId="09F738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eastAsia="方正小标宋_GBK"/>
          <w:sz w:val="44"/>
          <w:szCs w:val="44"/>
          <w:highlight w:val="none"/>
        </w:rPr>
      </w:pPr>
      <w:r>
        <w:rPr>
          <w:rFonts w:eastAsia="方正小标宋_GBK"/>
          <w:sz w:val="44"/>
          <w:szCs w:val="44"/>
          <w:highlight w:val="none"/>
        </w:rPr>
        <w:t>全链条治理实施方案</w:t>
      </w:r>
    </w:p>
    <w:p w14:paraId="51F48F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征求意见稿</w:t>
      </w:r>
      <w:r>
        <w:rPr>
          <w:rFonts w:hint="eastAsia" w:ascii="方正楷体_GBK" w:hAnsi="方正楷体_GBK" w:eastAsia="方正楷体_GBK" w:cs="方正楷体_GBK"/>
          <w:sz w:val="32"/>
          <w:szCs w:val="32"/>
          <w:lang w:eastAsia="zh-CN"/>
        </w:rPr>
        <w:t>）</w:t>
      </w:r>
    </w:p>
    <w:p w14:paraId="0108321D">
      <w:pPr>
        <w:spacing w:line="400" w:lineRule="exact"/>
        <w:jc w:val="center"/>
        <w:rPr>
          <w:rFonts w:hint="eastAsia" w:ascii="方正楷体_GBK" w:hAnsi="方正楷体_GBK" w:eastAsia="方正楷体_GBK" w:cs="方正楷体_GBK"/>
          <w:color w:val="000000"/>
          <w:sz w:val="32"/>
          <w:szCs w:val="32"/>
          <w:highlight w:val="none"/>
        </w:rPr>
      </w:pPr>
    </w:p>
    <w:p w14:paraId="6736FB22">
      <w:pPr>
        <w:pStyle w:val="9"/>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ascii="Times New Roman" w:hAnsi="Times New Roman" w:eastAsia="方正仿宋_GBK" w:cs="Times New Roman"/>
          <w:color w:val="000000"/>
          <w:sz w:val="32"/>
          <w:szCs w:val="32"/>
          <w:highlight w:val="none"/>
        </w:rPr>
      </w:pPr>
      <w:r>
        <w:rPr>
          <w:rFonts w:ascii="Times New Roman" w:hAnsi="Times New Roman" w:eastAsia="方正仿宋_GBK"/>
          <w:sz w:val="32"/>
          <w:szCs w:val="32"/>
          <w:highlight w:val="none"/>
        </w:rPr>
        <w:t>为强化危险化学品安</w:t>
      </w:r>
      <w:r>
        <w:rPr>
          <w:rFonts w:ascii="Times New Roman" w:hAnsi="Times New Roman" w:eastAsia="方正仿宋_GBK"/>
          <w:color w:val="000000"/>
          <w:sz w:val="32"/>
          <w:szCs w:val="32"/>
          <w:highlight w:val="none"/>
        </w:rPr>
        <w:t>全生产工作，根据省政府办公厅《关于进一步加强化工和危险化学品安全全链条治理的若干措施》</w:t>
      </w:r>
      <w:r>
        <w:rPr>
          <w:rFonts w:hint="eastAsia" w:ascii="Times New Roman" w:hAnsi="Times New Roman" w:eastAsia="方正仿宋_GBK" w:cs="Times New Roman"/>
          <w:color w:val="000000"/>
          <w:sz w:val="32"/>
          <w:szCs w:val="32"/>
          <w:highlight w:val="none"/>
          <w:lang w:val="en-US" w:eastAsia="zh-CN"/>
        </w:rPr>
        <w:t>和市政府办公室《关于进一步加强化工和危险化学品安全全链条治理实施方案》，</w:t>
      </w:r>
      <w:r>
        <w:rPr>
          <w:rFonts w:ascii="Times New Roman" w:hAnsi="Times New Roman" w:eastAsia="方正仿宋_GBK" w:cs="Times New Roman"/>
          <w:color w:val="000000"/>
          <w:sz w:val="32"/>
          <w:szCs w:val="32"/>
          <w:highlight w:val="none"/>
        </w:rPr>
        <w:t>制定本实施方案。</w:t>
      </w:r>
    </w:p>
    <w:p w14:paraId="15C63A6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黑体_GBK" w:cs="方正黑体_GBK"/>
          <w:color w:val="000000"/>
          <w:sz w:val="32"/>
          <w:szCs w:val="32"/>
          <w:highlight w:val="none"/>
        </w:rPr>
      </w:pPr>
      <w:r>
        <w:rPr>
          <w:rFonts w:hint="eastAsia" w:ascii="Times New Roman" w:hAnsi="Times New Roman" w:eastAsia="方正黑体_GBK" w:cs="方正黑体_GBK"/>
          <w:color w:val="000000"/>
          <w:sz w:val="32"/>
          <w:szCs w:val="32"/>
          <w:highlight w:val="none"/>
        </w:rPr>
        <w:t>一、治理目标</w:t>
      </w:r>
    </w:p>
    <w:p w14:paraId="7859F626">
      <w:pPr>
        <w:pStyle w:val="9"/>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ascii="Times New Roman" w:hAnsi="Times New Roman" w:eastAsia="方正仿宋_GBK"/>
          <w:color w:val="000000"/>
          <w:sz w:val="32"/>
          <w:szCs w:val="32"/>
          <w:highlight w:val="none"/>
        </w:rPr>
      </w:pPr>
      <w:r>
        <w:rPr>
          <w:rFonts w:ascii="Times New Roman" w:hAnsi="Times New Roman" w:eastAsia="方正仿宋_GBK"/>
          <w:color w:val="000000"/>
          <w:sz w:val="32"/>
          <w:szCs w:val="32"/>
          <w:highlight w:val="none"/>
        </w:rPr>
        <w:t>认真贯彻落实习近平总书记关于安全生产重要论述，更好统筹发展和安全，加强化工和危险化学品安全全链条治理，全面整治化工园区和危险化学品各环节安全风险隐患，扎实推进危险化学品安全治理体系和治理能力现代化，危险化学品生产、贮存、使用、经营、运输、处置等环节相关安全监管责任进一步完善落实，强化企业主体责任落实，建立以风险分级管控和隐患排查治理为重点的危险化学品安全预防控制体系，确保人民群众生命财产安全。</w:t>
      </w:r>
    </w:p>
    <w:p w14:paraId="6A3DDA8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黑体_GBK" w:cs="方正黑体_GBK"/>
          <w:color w:val="000000"/>
          <w:sz w:val="32"/>
          <w:szCs w:val="32"/>
          <w:highlight w:val="none"/>
        </w:rPr>
      </w:pPr>
      <w:r>
        <w:rPr>
          <w:rFonts w:hint="eastAsia" w:ascii="Times New Roman" w:hAnsi="Times New Roman" w:eastAsia="方正黑体_GBK" w:cs="方正黑体_GBK"/>
          <w:color w:val="000000"/>
          <w:sz w:val="32"/>
          <w:szCs w:val="32"/>
          <w:highlight w:val="none"/>
        </w:rPr>
        <w:t>二、主要措施</w:t>
      </w:r>
    </w:p>
    <w:p w14:paraId="78E41C8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楷体_GBK"/>
          <w:color w:val="000000"/>
          <w:sz w:val="32"/>
          <w:szCs w:val="32"/>
          <w:highlight w:val="none"/>
        </w:rPr>
      </w:pPr>
      <w:r>
        <w:rPr>
          <w:rFonts w:ascii="Times New Roman" w:hAnsi="Times New Roman" w:eastAsia="方正楷体_GBK"/>
          <w:color w:val="000000"/>
          <w:sz w:val="32"/>
          <w:szCs w:val="32"/>
          <w:highlight w:val="none"/>
        </w:rPr>
        <w:t>（一）严控化工园区安全风险</w:t>
      </w:r>
    </w:p>
    <w:p w14:paraId="141613C5">
      <w:pPr>
        <w:pStyle w:val="9"/>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方正仿宋_GBK" w:cs="方正仿宋_GBK"/>
          <w:b w:val="0"/>
          <w:bCs w:val="0"/>
          <w:color w:val="auto"/>
          <w:sz w:val="32"/>
          <w:szCs w:val="32"/>
          <w:highlight w:val="none"/>
        </w:rPr>
      </w:pPr>
      <w:r>
        <w:rPr>
          <w:rFonts w:ascii="Times New Roman" w:hAnsi="Times New Roman" w:eastAsia="方正仿宋_GBK" w:cs="Times New Roman"/>
          <w:color w:val="000000"/>
          <w:sz w:val="32"/>
          <w:szCs w:val="32"/>
          <w:highlight w:val="none"/>
        </w:rPr>
        <w:t>1</w:t>
      </w:r>
      <w:r>
        <w:rPr>
          <w:rFonts w:hint="eastAsia" w:ascii="Times New Roman" w:hAnsi="Times New Roman" w:eastAsia="方正仿宋_GBK" w:cs="Times New Roman"/>
          <w:color w:val="000000"/>
          <w:sz w:val="32"/>
          <w:szCs w:val="32"/>
          <w:highlight w:val="none"/>
          <w:lang w:eastAsia="zh-CN"/>
        </w:rPr>
        <w:t xml:space="preserve">. </w:t>
      </w:r>
      <w:r>
        <w:rPr>
          <w:rFonts w:ascii="Times New Roman" w:hAnsi="Times New Roman" w:eastAsia="方正仿宋_GBK" w:cs="Times New Roman"/>
          <w:color w:val="000000"/>
          <w:sz w:val="32"/>
          <w:szCs w:val="32"/>
          <w:highlight w:val="none"/>
        </w:rPr>
        <w:t>强化基础保障措施。</w:t>
      </w:r>
      <w:r>
        <w:rPr>
          <w:rFonts w:ascii="Times New Roman" w:hAnsi="Times New Roman" w:eastAsia="方正仿宋_GBK"/>
          <w:color w:val="000000"/>
          <w:sz w:val="32"/>
          <w:szCs w:val="32"/>
          <w:highlight w:val="none"/>
        </w:rPr>
        <w:t>落实《江苏省化工园区管理办法》，加强化工园区设立、区域范围调整和认定、项目入园、日常管理、取消定位等全流程管理。推</w:t>
      </w:r>
      <w:r>
        <w:rPr>
          <w:rFonts w:hint="eastAsia" w:ascii="Times New Roman" w:hAnsi="Times New Roman" w:eastAsia="方正仿宋_GBK" w:cs="方正仿宋_GBK"/>
          <w:color w:val="000000"/>
          <w:sz w:val="32"/>
          <w:szCs w:val="32"/>
          <w:highlight w:val="none"/>
        </w:rPr>
        <w:t>进“一园一策”整</w:t>
      </w:r>
      <w:r>
        <w:rPr>
          <w:rFonts w:ascii="Times New Roman" w:hAnsi="Times New Roman" w:eastAsia="方正仿宋_GBK"/>
          <w:color w:val="000000"/>
          <w:sz w:val="32"/>
          <w:szCs w:val="32"/>
          <w:highlight w:val="none"/>
        </w:rPr>
        <w:t>治提升，进一步完善封闭化管理、危险化学品运输车辆专用停车场、特勤消防站、化工安全技能实训基地、专业污水处理厂、危废处置设施、环境风险防控设施等基础设施和公用工程建设，加快劳动密集型企业和居民搬迁，切实增强化工园区安全保障和应急能力。</w:t>
      </w:r>
      <w:r>
        <w:rPr>
          <w:rFonts w:hint="eastAsia" w:ascii="Times New Roman" w:hAnsi="Times New Roman" w:eastAsia="方正仿宋_GBK" w:cs="方正仿宋_GBK"/>
          <w:b w:val="0"/>
          <w:bCs w:val="0"/>
          <w:color w:val="auto"/>
          <w:sz w:val="32"/>
          <w:szCs w:val="32"/>
          <w:highlight w:val="none"/>
        </w:rPr>
        <w:t>（</w:t>
      </w:r>
      <w:r>
        <w:rPr>
          <w:rFonts w:hint="eastAsia" w:ascii="Times New Roman" w:hAnsi="Times New Roman" w:eastAsia="方正仿宋_GBK" w:cs="方正仿宋_GBK"/>
          <w:b w:val="0"/>
          <w:bCs w:val="0"/>
          <w:color w:val="auto"/>
          <w:sz w:val="32"/>
          <w:szCs w:val="32"/>
          <w:highlight w:val="none"/>
          <w:lang w:val="en-US" w:eastAsia="zh-CN"/>
        </w:rPr>
        <w:t>县</w:t>
      </w:r>
      <w:r>
        <w:rPr>
          <w:rFonts w:hint="eastAsia" w:ascii="Times New Roman" w:hAnsi="Times New Roman" w:eastAsia="方正仿宋_GBK" w:cs="方正仿宋_GBK"/>
          <w:b w:val="0"/>
          <w:bCs w:val="0"/>
          <w:color w:val="auto"/>
          <w:sz w:val="32"/>
          <w:szCs w:val="32"/>
          <w:highlight w:val="none"/>
        </w:rPr>
        <w:t>工业和信息化局、</w:t>
      </w:r>
      <w:r>
        <w:rPr>
          <w:rFonts w:hint="eastAsia" w:ascii="Times New Roman" w:hAnsi="Times New Roman" w:eastAsia="方正仿宋_GBK" w:cs="方正仿宋_GBK"/>
          <w:b w:val="0"/>
          <w:bCs w:val="0"/>
          <w:color w:val="auto"/>
          <w:sz w:val="32"/>
          <w:szCs w:val="32"/>
          <w:highlight w:val="none"/>
          <w:lang w:val="en-US" w:eastAsia="zh-CN"/>
        </w:rPr>
        <w:t>盐城市滨海</w:t>
      </w:r>
      <w:r>
        <w:rPr>
          <w:rFonts w:hint="eastAsia" w:ascii="Times New Roman" w:hAnsi="Times New Roman" w:eastAsia="方正仿宋_GBK" w:cs="方正仿宋_GBK"/>
          <w:b w:val="0"/>
          <w:bCs w:val="0"/>
          <w:color w:val="auto"/>
          <w:sz w:val="32"/>
          <w:szCs w:val="32"/>
          <w:highlight w:val="none"/>
        </w:rPr>
        <w:t>生态环境局、</w:t>
      </w:r>
      <w:r>
        <w:rPr>
          <w:rFonts w:hint="eastAsia" w:ascii="Times New Roman" w:hAnsi="Times New Roman" w:eastAsia="方正仿宋_GBK" w:cs="方正仿宋_GBK"/>
          <w:b w:val="0"/>
          <w:bCs w:val="0"/>
          <w:color w:val="auto"/>
          <w:sz w:val="32"/>
          <w:szCs w:val="32"/>
          <w:highlight w:val="none"/>
          <w:lang w:val="en-US" w:eastAsia="zh-CN"/>
        </w:rPr>
        <w:t>县</w:t>
      </w:r>
      <w:r>
        <w:rPr>
          <w:rFonts w:hint="eastAsia" w:ascii="Times New Roman" w:hAnsi="Times New Roman" w:eastAsia="方正仿宋_GBK" w:cs="方正仿宋_GBK"/>
          <w:b w:val="0"/>
          <w:bCs w:val="0"/>
          <w:color w:val="auto"/>
          <w:sz w:val="32"/>
          <w:szCs w:val="32"/>
          <w:highlight w:val="none"/>
        </w:rPr>
        <w:t>应急管理局、</w:t>
      </w:r>
      <w:r>
        <w:rPr>
          <w:rFonts w:hint="eastAsia" w:ascii="Times New Roman" w:hAnsi="Times New Roman" w:eastAsia="方正仿宋_GBK" w:cs="方正仿宋_GBK"/>
          <w:b w:val="0"/>
          <w:bCs w:val="0"/>
          <w:color w:val="auto"/>
          <w:sz w:val="32"/>
          <w:szCs w:val="32"/>
          <w:highlight w:val="none"/>
          <w:lang w:val="en-US" w:eastAsia="zh-CN"/>
        </w:rPr>
        <w:t>县消防救援局</w:t>
      </w:r>
      <w:r>
        <w:rPr>
          <w:rFonts w:hint="eastAsia" w:ascii="Times New Roman" w:hAnsi="Times New Roman" w:eastAsia="方正仿宋_GBK" w:cs="方正仿宋_GBK"/>
          <w:b w:val="0"/>
          <w:bCs w:val="0"/>
          <w:color w:val="auto"/>
          <w:sz w:val="32"/>
          <w:szCs w:val="32"/>
          <w:highlight w:val="none"/>
          <w:lang w:eastAsia="zh-CN"/>
        </w:rPr>
        <w:t>、沿海工业园</w:t>
      </w:r>
      <w:r>
        <w:rPr>
          <w:rFonts w:hint="eastAsia" w:ascii="Times New Roman" w:hAnsi="Times New Roman" w:eastAsia="方正仿宋_GBK" w:cs="方正仿宋_GBK"/>
          <w:b w:val="0"/>
          <w:bCs w:val="0"/>
          <w:color w:val="auto"/>
          <w:sz w:val="32"/>
          <w:szCs w:val="32"/>
          <w:highlight w:val="none"/>
        </w:rPr>
        <w:t>按职责分工负责）</w:t>
      </w:r>
    </w:p>
    <w:p w14:paraId="59B73625">
      <w:pPr>
        <w:pStyle w:val="9"/>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方正仿宋_GBK" w:cs="方正仿宋_GBK"/>
          <w:b/>
          <w:bCs/>
          <w:color w:val="auto"/>
          <w:sz w:val="32"/>
          <w:szCs w:val="32"/>
          <w:highlight w:val="none"/>
        </w:rPr>
      </w:pPr>
      <w:r>
        <w:rPr>
          <w:rFonts w:hint="eastAsia" w:ascii="Times New Roman" w:hAnsi="Times New Roman" w:eastAsia="方正仿宋_GBK" w:cs="方正仿宋_GBK"/>
          <w:color w:val="000000"/>
          <w:sz w:val="32"/>
          <w:szCs w:val="32"/>
          <w:highlight w:val="none"/>
        </w:rPr>
        <w:t>2</w:t>
      </w:r>
      <w:r>
        <w:rPr>
          <w:rFonts w:hint="eastAsia" w:ascii="Times New Roman" w:hAnsi="Times New Roman" w:eastAsia="方正仿宋_GBK" w:cs="方正仿宋_GBK"/>
          <w:color w:val="000000"/>
          <w:sz w:val="32"/>
          <w:szCs w:val="32"/>
          <w:highlight w:val="none"/>
          <w:lang w:eastAsia="zh-CN"/>
        </w:rPr>
        <w:t xml:space="preserve">. </w:t>
      </w:r>
      <w:r>
        <w:rPr>
          <w:rFonts w:hint="eastAsia" w:ascii="Times New Roman" w:hAnsi="Times New Roman" w:eastAsia="方正仿宋_GBK" w:cs="方正仿宋_GBK"/>
          <w:color w:val="000000"/>
          <w:sz w:val="32"/>
          <w:szCs w:val="32"/>
          <w:highlight w:val="none"/>
        </w:rPr>
        <w:t>强化安全风险等级动态评估。加强化工园区安全风险等级抽查复核结果运用，对复核调整为高或较高安全风险等级的，责令限期整改，整改期间停止新、改、扩建危险化学品生产建设项目，支持符合相关条件且达到较低安全风险等级的化工园区申请扩大建设区域，助力化工园区高质量发展。</w:t>
      </w:r>
      <w:r>
        <w:rPr>
          <w:rFonts w:hint="eastAsia" w:ascii="Times New Roman" w:hAnsi="Times New Roman" w:eastAsia="方正仿宋_GBK" w:cs="方正仿宋_GBK"/>
          <w:b w:val="0"/>
          <w:bCs w:val="0"/>
          <w:color w:val="auto"/>
          <w:sz w:val="32"/>
          <w:szCs w:val="32"/>
          <w:highlight w:val="none"/>
        </w:rPr>
        <w:t>（</w:t>
      </w:r>
      <w:r>
        <w:rPr>
          <w:rFonts w:hint="eastAsia" w:ascii="Times New Roman" w:hAnsi="Times New Roman" w:eastAsia="方正仿宋_GBK" w:cs="方正仿宋_GBK"/>
          <w:b w:val="0"/>
          <w:bCs w:val="0"/>
          <w:color w:val="auto"/>
          <w:sz w:val="32"/>
          <w:szCs w:val="32"/>
          <w:highlight w:val="none"/>
          <w:lang w:val="en-US" w:eastAsia="zh-CN"/>
        </w:rPr>
        <w:t>县</w:t>
      </w:r>
      <w:r>
        <w:rPr>
          <w:rFonts w:hint="eastAsia" w:ascii="Times New Roman" w:hAnsi="Times New Roman" w:eastAsia="方正仿宋_GBK" w:cs="方正仿宋_GBK"/>
          <w:b w:val="0"/>
          <w:bCs w:val="0"/>
          <w:color w:val="auto"/>
          <w:sz w:val="32"/>
          <w:szCs w:val="32"/>
          <w:highlight w:val="none"/>
        </w:rPr>
        <w:t>工业和信息化局、</w:t>
      </w:r>
      <w:r>
        <w:rPr>
          <w:rFonts w:hint="eastAsia" w:ascii="Times New Roman" w:hAnsi="Times New Roman" w:eastAsia="方正仿宋_GBK" w:cs="方正仿宋_GBK"/>
          <w:b w:val="0"/>
          <w:bCs w:val="0"/>
          <w:color w:val="auto"/>
          <w:sz w:val="32"/>
          <w:szCs w:val="32"/>
          <w:highlight w:val="none"/>
          <w:lang w:val="en-US" w:eastAsia="zh-CN"/>
        </w:rPr>
        <w:t>县</w:t>
      </w:r>
      <w:r>
        <w:rPr>
          <w:rFonts w:hint="eastAsia" w:ascii="Times New Roman" w:hAnsi="Times New Roman" w:eastAsia="方正仿宋_GBK" w:cs="方正仿宋_GBK"/>
          <w:b w:val="0"/>
          <w:bCs w:val="0"/>
          <w:color w:val="auto"/>
          <w:sz w:val="32"/>
          <w:szCs w:val="32"/>
          <w:highlight w:val="none"/>
        </w:rPr>
        <w:t>应急管理局</w:t>
      </w:r>
      <w:r>
        <w:rPr>
          <w:rFonts w:hint="eastAsia" w:ascii="Times New Roman" w:hAnsi="Times New Roman" w:eastAsia="方正仿宋_GBK" w:cs="方正仿宋_GBK"/>
          <w:b w:val="0"/>
          <w:bCs w:val="0"/>
          <w:color w:val="auto"/>
          <w:sz w:val="32"/>
          <w:szCs w:val="32"/>
          <w:highlight w:val="none"/>
          <w:lang w:eastAsia="zh-CN"/>
        </w:rPr>
        <w:t>、沿海工业园</w:t>
      </w:r>
      <w:r>
        <w:rPr>
          <w:rFonts w:hint="eastAsia" w:ascii="Times New Roman" w:hAnsi="Times New Roman" w:eastAsia="方正仿宋_GBK" w:cs="方正仿宋_GBK"/>
          <w:b w:val="0"/>
          <w:bCs w:val="0"/>
          <w:color w:val="auto"/>
          <w:sz w:val="32"/>
          <w:szCs w:val="32"/>
          <w:highlight w:val="none"/>
        </w:rPr>
        <w:t>按职责分工负责）</w:t>
      </w:r>
    </w:p>
    <w:p w14:paraId="305F3592">
      <w:pPr>
        <w:pStyle w:val="9"/>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ascii="Times New Roman" w:hAnsi="Times New Roman" w:eastAsia="方正楷体_GBK" w:cs="Times New Roman"/>
          <w:b w:val="0"/>
          <w:bCs w:val="0"/>
          <w:color w:val="auto"/>
          <w:sz w:val="32"/>
          <w:szCs w:val="32"/>
          <w:highlight w:val="none"/>
        </w:rPr>
      </w:pPr>
      <w:r>
        <w:rPr>
          <w:rFonts w:ascii="Times New Roman" w:hAnsi="Times New Roman" w:eastAsia="方正仿宋_GBK" w:cs="Times New Roman"/>
          <w:color w:val="000000"/>
          <w:sz w:val="32"/>
          <w:szCs w:val="32"/>
          <w:highlight w:val="none"/>
        </w:rPr>
        <w:t>3</w:t>
      </w:r>
      <w:r>
        <w:rPr>
          <w:rFonts w:hint="eastAsia" w:ascii="Times New Roman" w:hAnsi="Times New Roman" w:eastAsia="方正仿宋_GBK" w:cs="Times New Roman"/>
          <w:color w:val="000000"/>
          <w:sz w:val="32"/>
          <w:szCs w:val="32"/>
          <w:highlight w:val="none"/>
          <w:lang w:eastAsia="zh-CN"/>
        </w:rPr>
        <w:t xml:space="preserve">. </w:t>
      </w:r>
      <w:r>
        <w:rPr>
          <w:rFonts w:ascii="Times New Roman" w:hAnsi="Times New Roman" w:eastAsia="方正仿宋_GBK" w:cs="Times New Roman"/>
          <w:color w:val="000000"/>
          <w:sz w:val="32"/>
          <w:szCs w:val="32"/>
          <w:highlight w:val="none"/>
        </w:rPr>
        <w:t>强化智慧化建设。持</w:t>
      </w:r>
      <w:r>
        <w:rPr>
          <w:rFonts w:ascii="Times New Roman" w:hAnsi="Times New Roman" w:eastAsia="方正仿宋_GBK"/>
          <w:color w:val="000000"/>
          <w:sz w:val="32"/>
          <w:szCs w:val="32"/>
          <w:highlight w:val="none"/>
        </w:rPr>
        <w:t>续提升化工园区安全风险智能化管控平台建用水平，增强化工园区安全监管信息化、分析决策智能化、应急救援一体化支撑能力。支持化工园区“链主”企业加大核心装备、关键工序智能化改造和载体平台数字化提升等领域的投入，带动产业链上下游企业数字化转型。</w:t>
      </w:r>
      <w:r>
        <w:rPr>
          <w:rFonts w:hint="eastAsia" w:ascii="Times New Roman" w:hAnsi="Times New Roman" w:eastAsia="方正仿宋_GBK" w:cs="方正仿宋_GBK"/>
          <w:b w:val="0"/>
          <w:bCs w:val="0"/>
          <w:color w:val="auto"/>
          <w:sz w:val="32"/>
          <w:szCs w:val="32"/>
          <w:highlight w:val="none"/>
        </w:rPr>
        <w:t>（</w:t>
      </w:r>
      <w:r>
        <w:rPr>
          <w:rFonts w:hint="eastAsia" w:ascii="Times New Roman" w:hAnsi="Times New Roman" w:eastAsia="方正仿宋_GBK" w:cs="方正仿宋_GBK"/>
          <w:b w:val="0"/>
          <w:bCs w:val="0"/>
          <w:color w:val="auto"/>
          <w:sz w:val="32"/>
          <w:szCs w:val="32"/>
          <w:highlight w:val="none"/>
          <w:lang w:val="en-US" w:eastAsia="zh-CN"/>
        </w:rPr>
        <w:t>县</w:t>
      </w:r>
      <w:r>
        <w:rPr>
          <w:rFonts w:hint="eastAsia" w:ascii="Times New Roman" w:hAnsi="Times New Roman" w:eastAsia="方正仿宋_GBK" w:cs="方正仿宋_GBK"/>
          <w:b w:val="0"/>
          <w:bCs w:val="0"/>
          <w:color w:val="auto"/>
          <w:sz w:val="32"/>
          <w:szCs w:val="32"/>
          <w:highlight w:val="none"/>
        </w:rPr>
        <w:t>工业和信息化局、</w:t>
      </w:r>
      <w:r>
        <w:rPr>
          <w:rFonts w:hint="eastAsia" w:ascii="Times New Roman" w:hAnsi="Times New Roman" w:eastAsia="方正仿宋_GBK" w:cs="方正仿宋_GBK"/>
          <w:b w:val="0"/>
          <w:bCs w:val="0"/>
          <w:color w:val="auto"/>
          <w:sz w:val="32"/>
          <w:szCs w:val="32"/>
          <w:highlight w:val="none"/>
          <w:lang w:val="en-US" w:eastAsia="zh-CN"/>
        </w:rPr>
        <w:t>县</w:t>
      </w:r>
      <w:r>
        <w:rPr>
          <w:rFonts w:hint="eastAsia" w:ascii="Times New Roman" w:hAnsi="Times New Roman" w:eastAsia="方正仿宋_GBK" w:cs="方正仿宋_GBK"/>
          <w:b w:val="0"/>
          <w:bCs w:val="0"/>
          <w:color w:val="auto"/>
          <w:sz w:val="32"/>
          <w:szCs w:val="32"/>
          <w:highlight w:val="none"/>
        </w:rPr>
        <w:t>应急管理局</w:t>
      </w:r>
      <w:r>
        <w:rPr>
          <w:rFonts w:hint="eastAsia" w:ascii="Times New Roman" w:hAnsi="Times New Roman" w:eastAsia="方正仿宋_GBK" w:cs="方正仿宋_GBK"/>
          <w:b w:val="0"/>
          <w:bCs w:val="0"/>
          <w:color w:val="auto"/>
          <w:sz w:val="32"/>
          <w:szCs w:val="32"/>
          <w:highlight w:val="none"/>
          <w:lang w:eastAsia="zh-CN"/>
        </w:rPr>
        <w:t>、沿海工业园</w:t>
      </w:r>
      <w:r>
        <w:rPr>
          <w:rFonts w:hint="eastAsia" w:ascii="Times New Roman" w:hAnsi="Times New Roman" w:eastAsia="方正仿宋_GBK" w:cs="方正仿宋_GBK"/>
          <w:b w:val="0"/>
          <w:bCs w:val="0"/>
          <w:color w:val="auto"/>
          <w:sz w:val="32"/>
          <w:szCs w:val="32"/>
          <w:highlight w:val="none"/>
        </w:rPr>
        <w:t>按职责分工负责）</w:t>
      </w:r>
    </w:p>
    <w:p w14:paraId="0A0D4B6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楷体_GBK"/>
          <w:color w:val="000000"/>
          <w:sz w:val="32"/>
          <w:szCs w:val="32"/>
          <w:highlight w:val="none"/>
        </w:rPr>
      </w:pPr>
      <w:r>
        <w:rPr>
          <w:rFonts w:ascii="Times New Roman" w:hAnsi="Times New Roman" w:eastAsia="方正楷体_GBK"/>
          <w:color w:val="000000"/>
          <w:sz w:val="32"/>
          <w:szCs w:val="32"/>
          <w:highlight w:val="none"/>
        </w:rPr>
        <w:t>（二）严控生产环节安全风险</w:t>
      </w:r>
    </w:p>
    <w:p w14:paraId="52B32B7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color w:val="000000"/>
          <w:sz w:val="32"/>
          <w:szCs w:val="32"/>
          <w:highlight w:val="none"/>
        </w:rPr>
        <w:t>4</w:t>
      </w:r>
      <w:r>
        <w:rPr>
          <w:rFonts w:hint="eastAsia" w:ascii="Times New Roman" w:hAnsi="Times New Roman" w:eastAsia="方正仿宋_GBK" w:cs="Times New Roman"/>
          <w:color w:val="000000"/>
          <w:sz w:val="32"/>
          <w:szCs w:val="32"/>
          <w:highlight w:val="none"/>
          <w:lang w:eastAsia="zh-CN"/>
        </w:rPr>
        <w:t xml:space="preserve">. </w:t>
      </w:r>
      <w:r>
        <w:rPr>
          <w:rFonts w:ascii="Times New Roman" w:hAnsi="Times New Roman" w:eastAsia="方正仿宋_GBK" w:cs="Times New Roman"/>
          <w:color w:val="000000"/>
          <w:sz w:val="32"/>
          <w:szCs w:val="32"/>
          <w:highlight w:val="none"/>
        </w:rPr>
        <w:t>加强工艺设备安全管控。</w:t>
      </w:r>
      <w:r>
        <w:rPr>
          <w:rFonts w:ascii="Times New Roman" w:hAnsi="Times New Roman" w:eastAsia="方正仿宋_GBK"/>
          <w:color w:val="000000"/>
          <w:sz w:val="32"/>
          <w:szCs w:val="32"/>
          <w:highlight w:val="none"/>
        </w:rPr>
        <w:t>强化化工和危险化学品企业源头把关，严格安全审查，鼓</w:t>
      </w:r>
      <w:r>
        <w:rPr>
          <w:rFonts w:ascii="Times New Roman" w:hAnsi="Times New Roman" w:eastAsia="方正仿宋_GBK"/>
          <w:sz w:val="32"/>
          <w:szCs w:val="32"/>
          <w:highlight w:val="none"/>
        </w:rPr>
        <w:t>励企业提高建设标准，应用新工艺新技术，确保本质安全</w:t>
      </w:r>
      <w:r>
        <w:rPr>
          <w:rFonts w:hint="eastAsia" w:ascii="Times New Roman" w:hAnsi="Times New Roman" w:eastAsia="方正仿宋_GBK" w:cs="Times New Roman"/>
          <w:color w:val="000000"/>
          <w:sz w:val="32"/>
          <w:szCs w:val="32"/>
          <w:highlight w:val="none"/>
          <w:lang w:val="en-US" w:eastAsia="zh-CN"/>
        </w:rPr>
        <w:t>（县应急管理局、县工业和信息化局、县数据局、县发展和改革委员会、盐城市滨海生态环境局、县自然资源和规划局、沿海工业园按职责分工负责）</w:t>
      </w:r>
      <w:r>
        <w:rPr>
          <w:rFonts w:ascii="Times New Roman" w:hAnsi="Times New Roman" w:eastAsia="方正仿宋_GBK" w:cs="Times New Roman"/>
          <w:color w:val="000000"/>
          <w:sz w:val="32"/>
          <w:szCs w:val="32"/>
          <w:highlight w:val="none"/>
        </w:rPr>
        <w:t>。</w:t>
      </w:r>
      <w:r>
        <w:rPr>
          <w:rFonts w:ascii="Times New Roman" w:hAnsi="Times New Roman" w:eastAsia="方正仿宋_GBK"/>
          <w:sz w:val="32"/>
          <w:szCs w:val="32"/>
          <w:highlight w:val="none"/>
        </w:rPr>
        <w:t>推动硝化等高危工艺企业应用微通道、微反应器、连续流等先进技术，间歇或半间歇釜式硝化工艺涉及硝基苯等27种化学品的，应两年内改造完毕</w:t>
      </w:r>
      <w:r>
        <w:rPr>
          <w:rFonts w:hint="eastAsia" w:ascii="Times New Roman" w:hAnsi="Times New Roman" w:eastAsia="方正仿宋_GBK"/>
          <w:sz w:val="32"/>
          <w:szCs w:val="32"/>
          <w:highlight w:val="none"/>
          <w:lang w:eastAsia="zh-CN"/>
        </w:rPr>
        <w:t>。</w:t>
      </w:r>
      <w:r>
        <w:rPr>
          <w:rFonts w:ascii="Times New Roman" w:hAnsi="Times New Roman" w:eastAsia="方正仿宋_GBK"/>
          <w:sz w:val="32"/>
          <w:szCs w:val="32"/>
          <w:highlight w:val="none"/>
        </w:rPr>
        <w:t>建立老旧装置动态更新改造机制，强化滚动排查和财政奖补</w:t>
      </w:r>
      <w:r>
        <w:rPr>
          <w:rFonts w:hint="eastAsia"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县</w:t>
      </w:r>
      <w:r>
        <w:rPr>
          <w:rFonts w:hint="eastAsia" w:ascii="Times New Roman" w:hAnsi="Times New Roman" w:eastAsia="方正仿宋_GBK" w:cs="Times New Roman"/>
          <w:sz w:val="32"/>
          <w:szCs w:val="32"/>
          <w:highlight w:val="none"/>
        </w:rPr>
        <w:t>工业和信息化局、</w:t>
      </w:r>
      <w:r>
        <w:rPr>
          <w:rFonts w:hint="eastAsia" w:ascii="Times New Roman" w:hAnsi="Times New Roman" w:eastAsia="方正仿宋_GBK" w:cs="Times New Roman"/>
          <w:sz w:val="32"/>
          <w:szCs w:val="32"/>
          <w:highlight w:val="none"/>
          <w:lang w:val="en-US" w:eastAsia="zh-CN"/>
        </w:rPr>
        <w:t>县</w:t>
      </w:r>
      <w:r>
        <w:rPr>
          <w:rFonts w:hint="eastAsia" w:ascii="Times New Roman" w:hAnsi="Times New Roman" w:eastAsia="方正仿宋_GBK" w:cs="Times New Roman"/>
          <w:sz w:val="32"/>
          <w:szCs w:val="32"/>
          <w:highlight w:val="none"/>
        </w:rPr>
        <w:t>财政局</w:t>
      </w:r>
      <w:r>
        <w:rPr>
          <w:rFonts w:hint="eastAsia" w:ascii="Times New Roman" w:hAnsi="Times New Roman" w:eastAsia="方正仿宋_GBK" w:cs="Times New Roman"/>
          <w:sz w:val="32"/>
          <w:szCs w:val="32"/>
          <w:highlight w:val="none"/>
          <w:lang w:val="en-US" w:eastAsia="zh-CN"/>
        </w:rPr>
        <w:t>、盐城市滨海生态环境局、县</w:t>
      </w:r>
      <w:r>
        <w:rPr>
          <w:rFonts w:hint="eastAsia" w:ascii="Times New Roman" w:hAnsi="Times New Roman" w:eastAsia="方正仿宋_GBK" w:cs="Times New Roman"/>
          <w:sz w:val="32"/>
          <w:szCs w:val="32"/>
          <w:highlight w:val="none"/>
        </w:rPr>
        <w:t>应急管理局、</w:t>
      </w:r>
      <w:r>
        <w:rPr>
          <w:rFonts w:hint="eastAsia" w:ascii="Times New Roman" w:hAnsi="Times New Roman" w:eastAsia="方正仿宋_GBK" w:cs="Times New Roman"/>
          <w:sz w:val="32"/>
          <w:szCs w:val="32"/>
          <w:highlight w:val="none"/>
          <w:lang w:val="en-US" w:eastAsia="zh-CN"/>
        </w:rPr>
        <w:t>县</w:t>
      </w:r>
      <w:r>
        <w:rPr>
          <w:rFonts w:hint="eastAsia" w:ascii="Times New Roman" w:hAnsi="Times New Roman" w:eastAsia="方正仿宋_GBK" w:cs="Times New Roman"/>
          <w:sz w:val="32"/>
          <w:szCs w:val="32"/>
          <w:highlight w:val="none"/>
        </w:rPr>
        <w:t>市场监督管理局</w:t>
      </w:r>
      <w:r>
        <w:rPr>
          <w:rFonts w:hint="eastAsia" w:ascii="Times New Roman" w:hAnsi="Times New Roman" w:eastAsia="方正仿宋_GBK" w:cs="Times New Roman"/>
          <w:sz w:val="32"/>
          <w:szCs w:val="32"/>
          <w:highlight w:val="none"/>
          <w:lang w:eastAsia="zh-CN"/>
        </w:rPr>
        <w:t>、沿海工业园</w:t>
      </w:r>
      <w:r>
        <w:rPr>
          <w:rFonts w:hint="eastAsia" w:ascii="Times New Roman" w:hAnsi="Times New Roman" w:eastAsia="方正仿宋_GBK" w:cs="Times New Roman"/>
          <w:sz w:val="32"/>
          <w:szCs w:val="32"/>
          <w:highlight w:val="none"/>
        </w:rPr>
        <w:t>按职责分工负责）</w:t>
      </w:r>
      <w:r>
        <w:rPr>
          <w:rFonts w:ascii="Times New Roman" w:hAnsi="Times New Roman" w:eastAsia="方正仿宋_GBK" w:cs="Times New Roman"/>
          <w:sz w:val="32"/>
          <w:szCs w:val="32"/>
          <w:highlight w:val="none"/>
        </w:rPr>
        <w:t>。推动</w:t>
      </w:r>
      <w:r>
        <w:rPr>
          <w:rFonts w:ascii="Times New Roman" w:hAnsi="Times New Roman" w:eastAsia="方正仿宋_GBK"/>
          <w:b w:val="0"/>
          <w:bCs w:val="0"/>
          <w:sz w:val="32"/>
          <w:szCs w:val="32"/>
          <w:highlight w:val="none"/>
        </w:rPr>
        <w:t>企业改造提升集散控制系统（DCS）、安全仪表系统（SIS）、</w:t>
      </w:r>
      <w:r>
        <w:rPr>
          <w:rFonts w:ascii="Times New Roman" w:hAnsi="Times New Roman" w:eastAsia="方正仿宋_GBK"/>
          <w:sz w:val="32"/>
          <w:szCs w:val="32"/>
          <w:highlight w:val="none"/>
        </w:rPr>
        <w:t>紧急切断系统（ESD）、可燃气体和有毒气体检测报警系统（GDS）等，提升自控率、可靠率和联锁投用率。</w:t>
      </w:r>
      <w:r>
        <w:rPr>
          <w:rFonts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县</w:t>
      </w:r>
      <w:r>
        <w:rPr>
          <w:rFonts w:ascii="Times New Roman" w:hAnsi="Times New Roman" w:eastAsia="方正仿宋_GBK" w:cs="Times New Roman"/>
          <w:sz w:val="32"/>
          <w:szCs w:val="32"/>
          <w:highlight w:val="none"/>
        </w:rPr>
        <w:t>应急管理局</w:t>
      </w:r>
      <w:r>
        <w:rPr>
          <w:rFonts w:hint="eastAsia" w:ascii="Times New Roman" w:hAnsi="Times New Roman" w:eastAsia="方正仿宋_GBK" w:cs="Times New Roman"/>
          <w:sz w:val="32"/>
          <w:szCs w:val="32"/>
          <w:highlight w:val="none"/>
          <w:lang w:eastAsia="zh-CN"/>
        </w:rPr>
        <w:t>、沿海工业园</w:t>
      </w:r>
      <w:r>
        <w:rPr>
          <w:rFonts w:hint="eastAsia" w:ascii="Times New Roman" w:hAnsi="Times New Roman" w:eastAsia="方正仿宋_GBK" w:cs="Times New Roman"/>
          <w:sz w:val="32"/>
          <w:szCs w:val="32"/>
          <w:highlight w:val="none"/>
        </w:rPr>
        <w:t>按职责分工</w:t>
      </w:r>
      <w:r>
        <w:rPr>
          <w:rFonts w:ascii="Times New Roman" w:hAnsi="Times New Roman" w:eastAsia="方正仿宋_GBK" w:cs="Times New Roman"/>
          <w:sz w:val="32"/>
          <w:szCs w:val="32"/>
          <w:highlight w:val="none"/>
        </w:rPr>
        <w:t>负责）</w:t>
      </w:r>
    </w:p>
    <w:p w14:paraId="2307429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sz w:val="32"/>
          <w:szCs w:val="32"/>
          <w:highlight w:val="none"/>
          <w:lang w:eastAsia="zh-CN"/>
        </w:rPr>
      </w:pPr>
      <w:r>
        <w:rPr>
          <w:rFonts w:ascii="Times New Roman" w:hAnsi="Times New Roman" w:eastAsia="方正仿宋_GBK" w:cs="Times New Roman"/>
          <w:sz w:val="32"/>
          <w:szCs w:val="32"/>
          <w:highlight w:val="none"/>
        </w:rPr>
        <w:t>5</w:t>
      </w:r>
      <w:r>
        <w:rPr>
          <w:rFonts w:hint="eastAsia" w:ascii="Times New Roman" w:hAnsi="Times New Roman" w:eastAsia="方正仿宋_GBK" w:cs="Times New Roman"/>
          <w:sz w:val="32"/>
          <w:szCs w:val="32"/>
          <w:highlight w:val="none"/>
          <w:lang w:eastAsia="zh-CN"/>
        </w:rPr>
        <w:t xml:space="preserve">. </w:t>
      </w:r>
      <w:r>
        <w:rPr>
          <w:rFonts w:ascii="Times New Roman" w:hAnsi="Times New Roman" w:eastAsia="方正仿宋_GBK" w:cs="Times New Roman"/>
          <w:sz w:val="32"/>
          <w:szCs w:val="32"/>
          <w:highlight w:val="none"/>
        </w:rPr>
        <w:t>加强重大危险源企业安全管控。</w:t>
      </w:r>
      <w:r>
        <w:rPr>
          <w:rFonts w:ascii="Times New Roman" w:hAnsi="Times New Roman" w:eastAsia="方正仿宋_GBK"/>
          <w:sz w:val="32"/>
          <w:szCs w:val="32"/>
          <w:highlight w:val="none"/>
        </w:rPr>
        <w:t>开展危险化学品重大危险源企业</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消地协作</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专项检查督导，推动企业深化运用双重预防机制数字化系统，确保重大危险源三类安全包保责任人履职到位，确保全员风险辨识管控和隐患排查治理到</w:t>
      </w:r>
      <w:r>
        <w:rPr>
          <w:rFonts w:hint="eastAsia" w:ascii="Times New Roman" w:hAnsi="Times New Roman" w:eastAsia="方正仿宋_GBK" w:cs="Times New Roman"/>
          <w:sz w:val="32"/>
          <w:szCs w:val="32"/>
          <w:highlight w:val="none"/>
          <w:lang w:val="en-US" w:eastAsia="zh-CN"/>
        </w:rPr>
        <w:t>位。（县应</w:t>
      </w:r>
      <w:r>
        <w:rPr>
          <w:rFonts w:hint="eastAsia" w:ascii="Times New Roman" w:hAnsi="Times New Roman" w:eastAsia="方正仿宋_GBK" w:cs="Times New Roman"/>
          <w:sz w:val="32"/>
          <w:szCs w:val="32"/>
          <w:highlight w:val="none"/>
          <w:lang w:eastAsia="zh-CN"/>
        </w:rPr>
        <w:t>急管理局、</w:t>
      </w:r>
      <w:r>
        <w:rPr>
          <w:rFonts w:hint="eastAsia" w:ascii="Times New Roman" w:hAnsi="Times New Roman" w:eastAsia="方正仿宋_GBK" w:cs="Times New Roman"/>
          <w:sz w:val="32"/>
          <w:szCs w:val="32"/>
          <w:highlight w:val="none"/>
          <w:lang w:val="en-US" w:eastAsia="zh-CN"/>
        </w:rPr>
        <w:t>县消防救援局</w:t>
      </w:r>
      <w:r>
        <w:rPr>
          <w:rFonts w:hint="eastAsia" w:ascii="Times New Roman" w:hAnsi="Times New Roman" w:eastAsia="方正仿宋_GBK" w:cs="Times New Roman"/>
          <w:sz w:val="32"/>
          <w:szCs w:val="32"/>
          <w:highlight w:val="none"/>
          <w:lang w:eastAsia="zh-CN"/>
        </w:rPr>
        <w:t>、沿海工业园、滨海港经济区按职责分工负责）</w:t>
      </w:r>
    </w:p>
    <w:p w14:paraId="5A64EA6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6</w:t>
      </w:r>
      <w:r>
        <w:rPr>
          <w:rFonts w:hint="eastAsia" w:ascii="Times New Roman" w:hAnsi="Times New Roman" w:eastAsia="方正仿宋_GBK" w:cs="Times New Roman"/>
          <w:sz w:val="32"/>
          <w:szCs w:val="32"/>
          <w:highlight w:val="none"/>
          <w:lang w:eastAsia="zh-CN"/>
        </w:rPr>
        <w:t xml:space="preserve">. </w:t>
      </w:r>
      <w:r>
        <w:rPr>
          <w:rFonts w:ascii="Times New Roman" w:hAnsi="Times New Roman" w:eastAsia="方正仿宋_GBK" w:cs="Times New Roman"/>
          <w:sz w:val="32"/>
          <w:szCs w:val="32"/>
          <w:highlight w:val="none"/>
        </w:rPr>
        <w:t>加强生产过程和作业现场安全管控。</w:t>
      </w:r>
      <w:r>
        <w:rPr>
          <w:rFonts w:ascii="Times New Roman" w:hAnsi="Times New Roman" w:eastAsia="方正仿宋_GBK"/>
          <w:sz w:val="32"/>
          <w:szCs w:val="32"/>
          <w:highlight w:val="none"/>
        </w:rPr>
        <w:t>持续推动重点企业开展系统性</w:t>
      </w:r>
      <w:r>
        <w:rPr>
          <w:rFonts w:ascii="Times New Roman" w:hAnsi="Times New Roman" w:eastAsia="方正仿宋_GBK" w:cs="方正仿宋_GBK"/>
          <w:color w:val="000000"/>
          <w:sz w:val="32"/>
          <w:szCs w:val="32"/>
          <w:highlight w:val="none"/>
        </w:rPr>
        <w:t>“安全审计”，</w:t>
      </w:r>
      <w:r>
        <w:rPr>
          <w:rFonts w:ascii="Times New Roman" w:hAnsi="Times New Roman" w:eastAsia="方正仿宋_GBK"/>
          <w:sz w:val="32"/>
          <w:szCs w:val="32"/>
          <w:highlight w:val="none"/>
        </w:rPr>
        <w:t>全方位、深层次诊断治理企业日常管理、体系管理和风险管理缺陷，全面整改问题隐患。将特殊作业、检维修作业、带压密封、带压开孔等作业作为日常监管、执法检查等的必查项，集中处理、曝光一批违法违规行为。督促企业落实异常工况处置等安全管理规范，合理安排检维修作业工种次序，确保同一时间现场作业人数不超过6人。强化企业基层基础建设，推动企业建立标准化班组，严格执行岗位操作规程，实行重点岗位职责清单化管理，防范化解生产环节安全风</w:t>
      </w:r>
      <w:r>
        <w:rPr>
          <w:rFonts w:ascii="Times New Roman" w:hAnsi="Times New Roman" w:eastAsia="方正仿宋_GBK" w:cs="Times New Roman"/>
          <w:sz w:val="32"/>
          <w:szCs w:val="32"/>
          <w:highlight w:val="none"/>
        </w:rPr>
        <w:t>险。（</w:t>
      </w:r>
      <w:r>
        <w:rPr>
          <w:rFonts w:hint="eastAsia" w:ascii="Times New Roman" w:hAnsi="Times New Roman" w:eastAsia="方正仿宋_GBK" w:cs="Times New Roman"/>
          <w:sz w:val="32"/>
          <w:szCs w:val="32"/>
          <w:highlight w:val="none"/>
          <w:lang w:val="en-US" w:eastAsia="zh-CN"/>
        </w:rPr>
        <w:t>县</w:t>
      </w:r>
      <w:r>
        <w:rPr>
          <w:rFonts w:ascii="Times New Roman" w:hAnsi="Times New Roman" w:eastAsia="方正仿宋_GBK" w:cs="Times New Roman"/>
          <w:sz w:val="32"/>
          <w:szCs w:val="32"/>
          <w:highlight w:val="none"/>
        </w:rPr>
        <w:t>应急管理局</w:t>
      </w:r>
      <w:r>
        <w:rPr>
          <w:rFonts w:hint="eastAsia" w:ascii="Times New Roman" w:hAnsi="Times New Roman" w:eastAsia="方正仿宋_GBK" w:cs="Times New Roman"/>
          <w:sz w:val="32"/>
          <w:szCs w:val="32"/>
          <w:highlight w:val="none"/>
          <w:lang w:eastAsia="zh-CN"/>
        </w:rPr>
        <w:t>、沿海工业园</w:t>
      </w:r>
      <w:r>
        <w:rPr>
          <w:rFonts w:hint="eastAsia" w:ascii="Times New Roman" w:hAnsi="Times New Roman" w:eastAsia="方正仿宋_GBK" w:cs="Times New Roman"/>
          <w:sz w:val="32"/>
          <w:szCs w:val="32"/>
          <w:highlight w:val="none"/>
        </w:rPr>
        <w:t>按职责分工</w:t>
      </w:r>
      <w:r>
        <w:rPr>
          <w:rFonts w:ascii="Times New Roman" w:hAnsi="Times New Roman" w:eastAsia="方正仿宋_GBK" w:cs="Times New Roman"/>
          <w:sz w:val="32"/>
          <w:szCs w:val="32"/>
          <w:highlight w:val="none"/>
        </w:rPr>
        <w:t>负责）</w:t>
      </w:r>
    </w:p>
    <w:p w14:paraId="2A7399D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7</w:t>
      </w:r>
      <w:r>
        <w:rPr>
          <w:rFonts w:hint="eastAsia" w:ascii="Times New Roman" w:hAnsi="Times New Roman" w:eastAsia="方正仿宋_GBK" w:cs="Times New Roman"/>
          <w:sz w:val="32"/>
          <w:szCs w:val="32"/>
          <w:highlight w:val="none"/>
          <w:lang w:eastAsia="zh-CN"/>
        </w:rPr>
        <w:t xml:space="preserve">. </w:t>
      </w:r>
      <w:r>
        <w:rPr>
          <w:rFonts w:ascii="Times New Roman" w:hAnsi="Times New Roman" w:eastAsia="方正仿宋_GBK" w:cs="Times New Roman"/>
          <w:sz w:val="32"/>
          <w:szCs w:val="32"/>
          <w:highlight w:val="none"/>
        </w:rPr>
        <w:t>加强智改数转网联工程建设。推进新一代信息技术与化工</w:t>
      </w:r>
      <w:r>
        <w:rPr>
          <w:rFonts w:ascii="Times New Roman" w:hAnsi="Times New Roman" w:eastAsia="方正仿宋_GBK"/>
          <w:sz w:val="32"/>
          <w:szCs w:val="32"/>
          <w:highlight w:val="none"/>
        </w:rPr>
        <w:t>生产全过程、全要素深度融合，提高安全生产风险感知评估、监测预警和响应处置能力。加大安全应急技术装备推广应用，在高风险区域实施</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机械化换人、自动化减人</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。加强化工园区、化工和危险化学品企业安全生产数字化建设，进一步提升安全监管效能。</w:t>
      </w:r>
      <w:r>
        <w:rPr>
          <w:rFonts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县</w:t>
      </w:r>
      <w:r>
        <w:rPr>
          <w:rFonts w:ascii="Times New Roman" w:hAnsi="Times New Roman" w:eastAsia="方正仿宋_GBK" w:cs="Times New Roman"/>
          <w:sz w:val="32"/>
          <w:szCs w:val="32"/>
          <w:highlight w:val="none"/>
        </w:rPr>
        <w:t>工业和信息化局、</w:t>
      </w:r>
      <w:r>
        <w:rPr>
          <w:rFonts w:hint="eastAsia" w:ascii="Times New Roman" w:hAnsi="Times New Roman" w:eastAsia="方正仿宋_GBK" w:cs="Times New Roman"/>
          <w:sz w:val="32"/>
          <w:szCs w:val="32"/>
          <w:highlight w:val="none"/>
          <w:lang w:val="en-US" w:eastAsia="zh-CN"/>
        </w:rPr>
        <w:t>县</w:t>
      </w:r>
      <w:r>
        <w:rPr>
          <w:rFonts w:ascii="Times New Roman" w:hAnsi="Times New Roman" w:eastAsia="方正仿宋_GBK" w:cs="Times New Roman"/>
          <w:sz w:val="32"/>
          <w:szCs w:val="32"/>
          <w:highlight w:val="none"/>
        </w:rPr>
        <w:t>应急管理局</w:t>
      </w:r>
      <w:r>
        <w:rPr>
          <w:rFonts w:hint="eastAsia" w:ascii="Times New Roman" w:hAnsi="Times New Roman" w:eastAsia="方正仿宋_GBK" w:cs="Times New Roman"/>
          <w:sz w:val="32"/>
          <w:szCs w:val="32"/>
          <w:highlight w:val="none"/>
          <w:lang w:eastAsia="zh-CN"/>
        </w:rPr>
        <w:t>、沿海工业园</w:t>
      </w:r>
      <w:r>
        <w:rPr>
          <w:rFonts w:ascii="Times New Roman" w:hAnsi="Times New Roman" w:eastAsia="方正仿宋_GBK" w:cs="Times New Roman"/>
          <w:sz w:val="32"/>
          <w:szCs w:val="32"/>
          <w:highlight w:val="none"/>
        </w:rPr>
        <w:t>按职责分工负责）</w:t>
      </w:r>
    </w:p>
    <w:p w14:paraId="3B91E4E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楷体_GBK"/>
          <w:sz w:val="32"/>
          <w:szCs w:val="32"/>
          <w:highlight w:val="none"/>
        </w:rPr>
      </w:pPr>
      <w:r>
        <w:rPr>
          <w:rFonts w:ascii="Times New Roman" w:hAnsi="Times New Roman" w:eastAsia="方正楷体_GBK"/>
          <w:sz w:val="32"/>
          <w:szCs w:val="32"/>
          <w:highlight w:val="none"/>
        </w:rPr>
        <w:t>（三）严控储存环节安全风险</w:t>
      </w:r>
    </w:p>
    <w:p w14:paraId="0C96861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8</w:t>
      </w:r>
      <w:r>
        <w:rPr>
          <w:rFonts w:hint="eastAsia" w:ascii="Times New Roman" w:hAnsi="Times New Roman" w:eastAsia="方正仿宋_GBK" w:cs="Times New Roman"/>
          <w:sz w:val="32"/>
          <w:szCs w:val="32"/>
          <w:highlight w:val="none"/>
          <w:lang w:eastAsia="zh-CN"/>
        </w:rPr>
        <w:t xml:space="preserve">. </w:t>
      </w:r>
      <w:r>
        <w:rPr>
          <w:rFonts w:ascii="Times New Roman" w:hAnsi="Times New Roman" w:eastAsia="方正仿宋_GBK" w:cs="Times New Roman"/>
          <w:sz w:val="32"/>
          <w:szCs w:val="32"/>
          <w:highlight w:val="none"/>
        </w:rPr>
        <w:t>防范化解储存环节安全风险。严格执行《化工企业可燃液体常压储罐区安全管理规范》，推动化工和危险</w:t>
      </w:r>
      <w:r>
        <w:rPr>
          <w:rFonts w:ascii="Times New Roman" w:hAnsi="Times New Roman" w:eastAsia="方正仿宋_GBK"/>
          <w:sz w:val="32"/>
          <w:szCs w:val="32"/>
          <w:highlight w:val="none"/>
        </w:rPr>
        <w:t>化学品生产企业改造提升建成时间长、安全风险高的常压储罐。健全完善大型油气储存企业安全风险管控</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4321</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长效机制，督促企业配齐气体检测、紧急切断、视频监控、雷电预警4个系统，推动企业落实主要负责人、技术负责人、操作负责人3类包保责任，对标开展企业自评和深度评估2个评估，有效应用1个智能化管控平台。</w:t>
      </w:r>
      <w:r>
        <w:rPr>
          <w:rFonts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县</w:t>
      </w:r>
      <w:r>
        <w:rPr>
          <w:rFonts w:ascii="Times New Roman" w:hAnsi="Times New Roman" w:eastAsia="方正仿宋_GBK" w:cs="Times New Roman"/>
          <w:sz w:val="32"/>
          <w:szCs w:val="32"/>
          <w:highlight w:val="none"/>
        </w:rPr>
        <w:t>应急管理局</w:t>
      </w:r>
      <w:r>
        <w:rPr>
          <w:rFonts w:hint="eastAsia" w:ascii="Times New Roman" w:hAnsi="Times New Roman" w:eastAsia="方正仿宋_GBK" w:cs="Times New Roman"/>
          <w:sz w:val="32"/>
          <w:szCs w:val="32"/>
          <w:highlight w:val="none"/>
          <w:lang w:eastAsia="zh-CN"/>
        </w:rPr>
        <w:t>、沿海工业园、滨海港经济区</w:t>
      </w:r>
      <w:r>
        <w:rPr>
          <w:rFonts w:ascii="Times New Roman" w:hAnsi="Times New Roman" w:eastAsia="方正仿宋_GBK" w:cs="Times New Roman"/>
          <w:sz w:val="32"/>
          <w:szCs w:val="32"/>
          <w:highlight w:val="none"/>
        </w:rPr>
        <w:t>按职责分工负责）</w:t>
      </w:r>
    </w:p>
    <w:p w14:paraId="3838D65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9</w:t>
      </w:r>
      <w:r>
        <w:rPr>
          <w:rFonts w:hint="eastAsia" w:ascii="Times New Roman" w:hAnsi="Times New Roman" w:eastAsia="方正仿宋_GBK" w:cs="Times New Roman"/>
          <w:sz w:val="32"/>
          <w:szCs w:val="32"/>
          <w:highlight w:val="none"/>
          <w:lang w:eastAsia="zh-CN"/>
        </w:rPr>
        <w:t xml:space="preserve">. </w:t>
      </w:r>
      <w:r>
        <w:rPr>
          <w:rFonts w:ascii="Times New Roman" w:hAnsi="Times New Roman" w:eastAsia="方正仿宋_GBK" w:cs="Times New Roman"/>
          <w:sz w:val="32"/>
          <w:szCs w:val="32"/>
          <w:highlight w:val="none"/>
        </w:rPr>
        <w:t>防范化解危险货物港口安全风险。</w:t>
      </w:r>
      <w:r>
        <w:rPr>
          <w:rFonts w:ascii="Times New Roman" w:hAnsi="Times New Roman" w:eastAsia="方正仿宋_GBK"/>
          <w:sz w:val="32"/>
          <w:szCs w:val="32"/>
          <w:highlight w:val="none"/>
        </w:rPr>
        <w:t>严格控制内河港口危险化学品新建设项目审批（涉及LNG、油品等能源布局需求以及提升安全、生态环境保护水平的除外）。加大危险货物港口建设项目的监督管理力度，严格审核项目安全条件、安全设施设计和港口经营许可。依法组织开展危险货物港口企业安全生产状况核查，对不符合安全生产条件的，责令限期整改、停业整顿，逾期仍不满足安全生产条件的，依法吊销经营许可</w:t>
      </w:r>
      <w:r>
        <w:rPr>
          <w:rFonts w:ascii="Times New Roman" w:hAnsi="Times New Roman" w:eastAsia="方正仿宋_GBK" w:cs="Times New Roman"/>
          <w:sz w:val="32"/>
          <w:szCs w:val="32"/>
          <w:highlight w:val="none"/>
        </w:rPr>
        <w:t>证（</w:t>
      </w:r>
      <w:r>
        <w:rPr>
          <w:rFonts w:hint="eastAsia" w:ascii="Times New Roman" w:hAnsi="Times New Roman" w:eastAsia="方正仿宋_GBK" w:cs="Times New Roman"/>
          <w:sz w:val="32"/>
          <w:szCs w:val="32"/>
          <w:highlight w:val="none"/>
          <w:lang w:val="en-US" w:eastAsia="zh-CN"/>
        </w:rPr>
        <w:t>县</w:t>
      </w:r>
      <w:r>
        <w:rPr>
          <w:rFonts w:ascii="Times New Roman" w:hAnsi="Times New Roman" w:eastAsia="方正仿宋_GBK" w:cs="Times New Roman"/>
          <w:sz w:val="32"/>
          <w:szCs w:val="32"/>
          <w:highlight w:val="none"/>
        </w:rPr>
        <w:t>交通运输局牵头负责）。鼓励港口企业更新提升一批安全风险高的危险货物老旧储罐及安全附属设施。（</w:t>
      </w:r>
      <w:r>
        <w:rPr>
          <w:rFonts w:hint="eastAsia" w:ascii="Times New Roman" w:hAnsi="Times New Roman" w:eastAsia="方正仿宋_GBK" w:cs="Times New Roman"/>
          <w:sz w:val="32"/>
          <w:szCs w:val="32"/>
          <w:highlight w:val="none"/>
          <w:lang w:val="en-US" w:eastAsia="zh-CN"/>
        </w:rPr>
        <w:t>县</w:t>
      </w:r>
      <w:r>
        <w:rPr>
          <w:rFonts w:ascii="Times New Roman" w:hAnsi="Times New Roman" w:eastAsia="方正仿宋_GBK" w:cs="Times New Roman"/>
          <w:sz w:val="32"/>
          <w:szCs w:val="32"/>
          <w:highlight w:val="none"/>
        </w:rPr>
        <w:t>交通运输局、</w:t>
      </w:r>
      <w:r>
        <w:rPr>
          <w:rFonts w:hint="eastAsia" w:ascii="Times New Roman" w:hAnsi="Times New Roman" w:eastAsia="方正仿宋_GBK" w:cs="Times New Roman"/>
          <w:sz w:val="32"/>
          <w:szCs w:val="32"/>
          <w:highlight w:val="none"/>
          <w:lang w:val="en-US" w:eastAsia="zh-CN"/>
        </w:rPr>
        <w:t>县</w:t>
      </w:r>
      <w:r>
        <w:rPr>
          <w:rFonts w:ascii="Times New Roman" w:hAnsi="Times New Roman" w:eastAsia="方正仿宋_GBK" w:cs="Times New Roman"/>
          <w:sz w:val="32"/>
          <w:szCs w:val="32"/>
          <w:highlight w:val="none"/>
        </w:rPr>
        <w:t>市场监督管理局</w:t>
      </w:r>
      <w:r>
        <w:rPr>
          <w:rFonts w:hint="eastAsia" w:ascii="Times New Roman" w:hAnsi="Times New Roman" w:eastAsia="方正仿宋_GBK" w:cs="Times New Roman"/>
          <w:sz w:val="32"/>
          <w:szCs w:val="32"/>
          <w:highlight w:val="none"/>
          <w:lang w:eastAsia="zh-CN"/>
        </w:rPr>
        <w:t>、滨海港经济区</w:t>
      </w:r>
      <w:r>
        <w:rPr>
          <w:rFonts w:ascii="Times New Roman" w:hAnsi="Times New Roman" w:eastAsia="方正仿宋_GBK" w:cs="Times New Roman"/>
          <w:sz w:val="32"/>
          <w:szCs w:val="32"/>
          <w:highlight w:val="none"/>
        </w:rPr>
        <w:t>按职责分工负责）</w:t>
      </w:r>
    </w:p>
    <w:p w14:paraId="3241DAC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楷体_GBK"/>
          <w:sz w:val="32"/>
          <w:szCs w:val="32"/>
          <w:highlight w:val="none"/>
        </w:rPr>
      </w:pPr>
      <w:r>
        <w:rPr>
          <w:rFonts w:ascii="Times New Roman" w:hAnsi="Times New Roman" w:eastAsia="方正楷体_GBK"/>
          <w:sz w:val="32"/>
          <w:szCs w:val="32"/>
          <w:highlight w:val="none"/>
        </w:rPr>
        <w:t>（四）严控经营环节安全风险</w:t>
      </w:r>
    </w:p>
    <w:p w14:paraId="25E87EB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10</w:t>
      </w:r>
      <w:r>
        <w:rPr>
          <w:rFonts w:hint="eastAsia" w:ascii="Times New Roman" w:hAnsi="Times New Roman" w:eastAsia="方正仿宋_GBK" w:cs="Times New Roman"/>
          <w:sz w:val="32"/>
          <w:szCs w:val="32"/>
          <w:highlight w:val="none"/>
          <w:lang w:eastAsia="zh-CN"/>
        </w:rPr>
        <w:t xml:space="preserve">. </w:t>
      </w:r>
      <w:r>
        <w:rPr>
          <w:rFonts w:ascii="Times New Roman" w:hAnsi="Times New Roman" w:eastAsia="方正仿宋_GBK" w:cs="Times New Roman"/>
          <w:sz w:val="32"/>
          <w:szCs w:val="32"/>
          <w:highlight w:val="none"/>
        </w:rPr>
        <w:t>防范化解经营企业安全风险。</w:t>
      </w:r>
      <w:r>
        <w:rPr>
          <w:rFonts w:ascii="Times New Roman" w:hAnsi="Times New Roman" w:eastAsia="方正仿宋_GBK"/>
          <w:sz w:val="32"/>
          <w:szCs w:val="32"/>
          <w:highlight w:val="none"/>
        </w:rPr>
        <w:t>核查评估</w:t>
      </w:r>
      <w:r>
        <w:rPr>
          <w:rFonts w:hint="eastAsia" w:ascii="Times New Roman" w:hAnsi="Times New Roman" w:eastAsia="方正仿宋_GBK"/>
          <w:sz w:val="32"/>
          <w:szCs w:val="32"/>
          <w:highlight w:val="none"/>
        </w:rPr>
        <w:t>有</w:t>
      </w:r>
      <w:r>
        <w:rPr>
          <w:rFonts w:ascii="Times New Roman" w:hAnsi="Times New Roman" w:eastAsia="方正仿宋_GBK"/>
          <w:sz w:val="32"/>
          <w:szCs w:val="32"/>
          <w:highlight w:val="none"/>
        </w:rPr>
        <w:t>危险化学品仓库的经营企业，从安全基础管理、规划布局与总平面布置、储存过程、设备安全、电气与仪表、应急与消防等6个方面核定企业安全风险等级，督促企业整改提升。从严执法验收，对未按期完成隐患整改的依法实施行政处罚，涉及否决项未整改的依法实施停业整顿，实现高、较高安全风险等级企业动态</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清零</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县</w:t>
      </w:r>
      <w:r>
        <w:rPr>
          <w:rFonts w:ascii="Times New Roman" w:hAnsi="Times New Roman" w:eastAsia="方正仿宋_GBK" w:cs="Times New Roman"/>
          <w:sz w:val="32"/>
          <w:szCs w:val="32"/>
          <w:highlight w:val="none"/>
        </w:rPr>
        <w:t>应急管理局、</w:t>
      </w:r>
      <w:r>
        <w:rPr>
          <w:rFonts w:hint="eastAsia" w:ascii="Times New Roman" w:hAnsi="Times New Roman" w:eastAsia="方正仿宋_GBK" w:cs="Times New Roman"/>
          <w:sz w:val="32"/>
          <w:szCs w:val="32"/>
          <w:highlight w:val="none"/>
          <w:lang w:val="en-US" w:eastAsia="zh-CN"/>
        </w:rPr>
        <w:t>县消防救援局</w:t>
      </w:r>
      <w:r>
        <w:rPr>
          <w:rFonts w:hint="eastAsia" w:ascii="Times New Roman" w:hAnsi="Times New Roman" w:eastAsia="方正仿宋_GBK" w:cs="Times New Roman"/>
          <w:sz w:val="32"/>
          <w:szCs w:val="32"/>
          <w:highlight w:val="none"/>
          <w:lang w:eastAsia="zh-CN"/>
        </w:rPr>
        <w:t>、沿海工业园</w:t>
      </w:r>
      <w:r>
        <w:rPr>
          <w:rFonts w:ascii="Times New Roman" w:hAnsi="Times New Roman" w:eastAsia="方正仿宋_GBK" w:cs="Times New Roman"/>
          <w:sz w:val="32"/>
          <w:szCs w:val="32"/>
          <w:highlight w:val="none"/>
        </w:rPr>
        <w:t>按职责分工负责）</w:t>
      </w:r>
    </w:p>
    <w:p w14:paraId="5569462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楷体_GBK" w:cs="方正楷体_GBK"/>
          <w:sz w:val="32"/>
          <w:szCs w:val="32"/>
          <w:highlight w:val="none"/>
        </w:rPr>
      </w:pPr>
      <w:r>
        <w:rPr>
          <w:rFonts w:hint="eastAsia" w:ascii="Times New Roman" w:hAnsi="Times New Roman" w:eastAsia="方正楷体_GBK" w:cs="方正楷体_GBK"/>
          <w:sz w:val="32"/>
          <w:szCs w:val="32"/>
          <w:highlight w:val="none"/>
        </w:rPr>
        <w:t>（五）严控运输环节安全风险</w:t>
      </w:r>
    </w:p>
    <w:p w14:paraId="555156D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11</w:t>
      </w:r>
      <w:r>
        <w:rPr>
          <w:rFonts w:hint="eastAsia" w:ascii="Times New Roman" w:hAnsi="Times New Roman" w:eastAsia="方正仿宋_GBK" w:cs="Times New Roman"/>
          <w:sz w:val="32"/>
          <w:szCs w:val="32"/>
          <w:highlight w:val="none"/>
          <w:lang w:eastAsia="zh-CN"/>
        </w:rPr>
        <w:t xml:space="preserve">. </w:t>
      </w:r>
      <w:r>
        <w:rPr>
          <w:rFonts w:ascii="Times New Roman" w:hAnsi="Times New Roman" w:eastAsia="方正仿宋_GBK" w:cs="Times New Roman"/>
          <w:sz w:val="32"/>
          <w:szCs w:val="32"/>
          <w:highlight w:val="none"/>
        </w:rPr>
        <w:t>严格危险货物运输资质安全监管。</w:t>
      </w:r>
      <w:r>
        <w:rPr>
          <w:rFonts w:ascii="Times New Roman" w:hAnsi="Times New Roman" w:eastAsia="方正仿宋_GBK"/>
          <w:sz w:val="32"/>
          <w:szCs w:val="32"/>
          <w:highlight w:val="none"/>
        </w:rPr>
        <w:t>严格审核从事危险货物运输的人员、车辆（船舶）、企业许可条件，加强资质监管。新增危险货物运输车辆，必须安装符合相关技术标准的主动安全智能防控系统，并纳入企业和行业监管平台，实施常态化动态监控监管。组织开展危险货物运输企业和车辆（船舶）安全生产条件核查，推动运输企业及时更新老旧车辆（船舶），对车辆（船舶）、从业人员不符合安全生产条件的，暂停从事营运活动，对整改仍不合格的，依法吊销相关证件。对不具备安全生产条件的危险货物运输企业，责令限期整改、停业整顿，逾期仍不满足安全生产条件的，依法吊销相关运输经营许可证</w:t>
      </w:r>
      <w:r>
        <w:rPr>
          <w:rFonts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县</w:t>
      </w:r>
      <w:r>
        <w:rPr>
          <w:rFonts w:ascii="Times New Roman" w:hAnsi="Times New Roman" w:eastAsia="方正仿宋_GBK" w:cs="Times New Roman"/>
          <w:sz w:val="32"/>
          <w:szCs w:val="32"/>
          <w:highlight w:val="none"/>
        </w:rPr>
        <w:t>交通运输局牵头负责）</w:t>
      </w:r>
    </w:p>
    <w:p w14:paraId="0BB4D8B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12</w:t>
      </w:r>
      <w:r>
        <w:rPr>
          <w:rFonts w:hint="eastAsia" w:ascii="Times New Roman" w:hAnsi="Times New Roman" w:eastAsia="方正仿宋_GBK" w:cs="Times New Roman"/>
          <w:sz w:val="32"/>
          <w:szCs w:val="32"/>
          <w:highlight w:val="none"/>
          <w:lang w:eastAsia="zh-CN"/>
        </w:rPr>
        <w:t xml:space="preserve">. </w:t>
      </w:r>
      <w:r>
        <w:rPr>
          <w:rFonts w:ascii="Times New Roman" w:hAnsi="Times New Roman" w:eastAsia="方正仿宋_GBK" w:cs="Times New Roman"/>
          <w:sz w:val="32"/>
          <w:szCs w:val="32"/>
          <w:highlight w:val="none"/>
        </w:rPr>
        <w:t>严格道路运输承运安全监管。</w:t>
      </w:r>
      <w:r>
        <w:rPr>
          <w:rFonts w:ascii="Times New Roman" w:hAnsi="Times New Roman" w:eastAsia="方正仿宋_GBK"/>
          <w:sz w:val="32"/>
          <w:szCs w:val="32"/>
          <w:highlight w:val="none"/>
        </w:rPr>
        <w:t>依托危险货物道路运输电子运单系统，加强装卸货地点数据采集，整合企业、车辆、从业人员和电子运单等数据，在发车、装货、卸货等作业地点实时比对采集数据，对接化工园区智能化信息管控平台，对入园危险货物运输车辆进行精准动态监管；充分运用省危险废物联单系统与电子运单系统实时衔接，强化对危险废物产生单位和危险货物道路运输企业（单位）的协同监管。建立施</w:t>
      </w:r>
      <w:r>
        <w:rPr>
          <w:rFonts w:ascii="Times New Roman" w:hAnsi="Times New Roman" w:eastAsia="方正仿宋_GBK" w:cs="Times New Roman"/>
          <w:color w:val="000000"/>
          <w:sz w:val="32"/>
          <w:szCs w:val="32"/>
          <w:highlight w:val="none"/>
        </w:rPr>
        <w:t>行</w:t>
      </w:r>
      <w:r>
        <w:rPr>
          <w:rFonts w:hint="eastAsia" w:ascii="Times New Roman" w:hAnsi="Times New Roman" w:eastAsia="方正仿宋_GBK" w:cs="Times New Roman"/>
          <w:color w:val="000000"/>
          <w:sz w:val="32"/>
          <w:szCs w:val="32"/>
          <w:highlight w:val="none"/>
          <w:lang w:val="en-US" w:eastAsia="zh-CN"/>
        </w:rPr>
        <w:t>滨海县</w:t>
      </w:r>
      <w:r>
        <w:rPr>
          <w:rFonts w:ascii="Times New Roman" w:hAnsi="Times New Roman" w:eastAsia="方正仿宋_GBK" w:cs="Times New Roman"/>
          <w:color w:val="000000"/>
          <w:sz w:val="32"/>
          <w:szCs w:val="32"/>
          <w:highlight w:val="none"/>
        </w:rPr>
        <w:t>境内危险货物道路运输企业、车辆、驾驶人员安全码分级分类管理制度；综合利用</w:t>
      </w:r>
      <w:r>
        <w:rPr>
          <w:rFonts w:hint="eastAsia" w:ascii="Times New Roman" w:hAnsi="Times New Roman" w:eastAsia="方正仿宋_GBK" w:cs="Times New Roman"/>
          <w:color w:val="000000"/>
          <w:sz w:val="32"/>
          <w:szCs w:val="32"/>
          <w:highlight w:val="none"/>
        </w:rPr>
        <w:t>“江苏交通云”</w:t>
      </w:r>
      <w:r>
        <w:rPr>
          <w:rFonts w:ascii="Times New Roman" w:hAnsi="Times New Roman" w:eastAsia="方正仿宋_GBK" w:cs="Times New Roman"/>
          <w:color w:val="000000"/>
          <w:sz w:val="32"/>
          <w:szCs w:val="32"/>
          <w:highlight w:val="none"/>
        </w:rPr>
        <w:t>等APP，对</w:t>
      </w:r>
      <w:r>
        <w:rPr>
          <w:rFonts w:hint="eastAsia" w:ascii="Times New Roman" w:hAnsi="Times New Roman" w:eastAsia="方正仿宋_GBK" w:cs="Times New Roman"/>
          <w:color w:val="000000"/>
          <w:sz w:val="32"/>
          <w:szCs w:val="32"/>
          <w:highlight w:val="none"/>
          <w:lang w:val="en-US" w:eastAsia="zh-CN"/>
        </w:rPr>
        <w:t>滨海县</w:t>
      </w:r>
      <w:r>
        <w:rPr>
          <w:rFonts w:ascii="Times New Roman" w:hAnsi="Times New Roman" w:eastAsia="方正仿宋_GBK" w:cs="Times New Roman"/>
          <w:color w:val="000000"/>
          <w:sz w:val="32"/>
          <w:szCs w:val="32"/>
          <w:highlight w:val="none"/>
        </w:rPr>
        <w:t>境内从事危险货物运输业务车辆和驾驶员进行赋码管理，安全码等级达不到要求的不得在本</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开展危险货物装货、运输活动。加强对危险货物</w:t>
      </w:r>
      <w:r>
        <w:rPr>
          <w:rFonts w:ascii="Times New Roman" w:hAnsi="Times New Roman" w:eastAsia="方正仿宋_GBK"/>
          <w:sz w:val="32"/>
          <w:szCs w:val="32"/>
          <w:highlight w:val="none"/>
        </w:rPr>
        <w:t>车辆停车管理，严格查处违法停车等交通违法行为。对跨越饮用水水源保护区等重要敏感水体的公路桥梁，要结合实际，按照相关规定要求建设完善桥面径流水收集系统、事故应急池或桥面排水自动化阻隔装置等环境风险防控设施，严防因危险货物运输事故引发次生突发水污染事件。</w:t>
      </w:r>
      <w:r>
        <w:rPr>
          <w:rFonts w:hint="eastAsia" w:ascii="Times New Roman" w:hAnsi="Times New Roman" w:eastAsia="方正仿宋_GBK"/>
          <w:sz w:val="32"/>
          <w:szCs w:val="32"/>
          <w:highlight w:val="none"/>
        </w:rPr>
        <w:t>可以结合本县实际和需求提请人民政府，将部分闲置场所改建为危险货物车辆公共停车场</w:t>
      </w:r>
      <w:r>
        <w:rPr>
          <w:rFonts w:hint="eastAsia"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县</w:t>
      </w:r>
      <w:r>
        <w:rPr>
          <w:rFonts w:hint="eastAsia" w:ascii="Times New Roman" w:hAnsi="Times New Roman" w:eastAsia="方正仿宋_GBK" w:cs="Times New Roman"/>
          <w:sz w:val="32"/>
          <w:szCs w:val="32"/>
          <w:highlight w:val="none"/>
        </w:rPr>
        <w:t>交通运输局牵头，</w:t>
      </w:r>
      <w:r>
        <w:rPr>
          <w:rFonts w:hint="eastAsia" w:ascii="Times New Roman" w:hAnsi="Times New Roman" w:eastAsia="方正仿宋_GBK" w:cs="Times New Roman"/>
          <w:sz w:val="32"/>
          <w:szCs w:val="32"/>
          <w:highlight w:val="none"/>
          <w:lang w:val="en-US" w:eastAsia="zh-CN"/>
        </w:rPr>
        <w:t>县</w:t>
      </w:r>
      <w:r>
        <w:rPr>
          <w:rFonts w:hint="eastAsia" w:ascii="Times New Roman" w:hAnsi="Times New Roman" w:eastAsia="方正仿宋_GBK" w:cs="Times New Roman"/>
          <w:sz w:val="32"/>
          <w:szCs w:val="32"/>
          <w:highlight w:val="none"/>
        </w:rPr>
        <w:t>工业和信息化局、</w:t>
      </w:r>
      <w:r>
        <w:rPr>
          <w:rFonts w:hint="eastAsia" w:ascii="Times New Roman" w:hAnsi="Times New Roman" w:eastAsia="方正仿宋_GBK" w:cs="Times New Roman"/>
          <w:sz w:val="32"/>
          <w:szCs w:val="32"/>
          <w:highlight w:val="none"/>
          <w:lang w:val="en-US" w:eastAsia="zh-CN"/>
        </w:rPr>
        <w:t>县</w:t>
      </w:r>
      <w:r>
        <w:rPr>
          <w:rFonts w:hint="eastAsia" w:ascii="Times New Roman" w:hAnsi="Times New Roman" w:eastAsia="方正仿宋_GBK" w:cs="Times New Roman"/>
          <w:sz w:val="32"/>
          <w:szCs w:val="32"/>
          <w:highlight w:val="none"/>
        </w:rPr>
        <w:t>公安局、</w:t>
      </w:r>
      <w:r>
        <w:rPr>
          <w:rFonts w:hint="eastAsia" w:ascii="Times New Roman" w:hAnsi="Times New Roman" w:eastAsia="方正仿宋_GBK" w:cs="Times New Roman"/>
          <w:sz w:val="32"/>
          <w:szCs w:val="32"/>
          <w:highlight w:val="none"/>
          <w:lang w:val="en-US" w:eastAsia="zh-CN"/>
        </w:rPr>
        <w:t>盐城市滨海生态环境局</w:t>
      </w:r>
      <w:r>
        <w:rPr>
          <w:rFonts w:hint="eastAsia"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县</w:t>
      </w:r>
      <w:r>
        <w:rPr>
          <w:rFonts w:hint="eastAsia" w:ascii="Times New Roman" w:hAnsi="Times New Roman" w:eastAsia="方正仿宋_GBK" w:cs="Times New Roman"/>
          <w:sz w:val="32"/>
          <w:szCs w:val="32"/>
          <w:highlight w:val="none"/>
        </w:rPr>
        <w:t>应急管理局、</w:t>
      </w:r>
      <w:r>
        <w:rPr>
          <w:rFonts w:hint="eastAsia" w:ascii="Times New Roman" w:hAnsi="Times New Roman" w:eastAsia="方正仿宋_GBK" w:cs="Times New Roman"/>
          <w:sz w:val="32"/>
          <w:szCs w:val="32"/>
          <w:highlight w:val="none"/>
          <w:lang w:val="en-US" w:eastAsia="zh-CN"/>
        </w:rPr>
        <w:t>县</w:t>
      </w:r>
      <w:r>
        <w:rPr>
          <w:rFonts w:hint="eastAsia" w:ascii="Times New Roman" w:hAnsi="Times New Roman" w:eastAsia="方正仿宋_GBK" w:cs="Times New Roman"/>
          <w:sz w:val="32"/>
          <w:szCs w:val="32"/>
          <w:highlight w:val="none"/>
        </w:rPr>
        <w:t>市场监督管理局按职责分工负责）</w:t>
      </w:r>
    </w:p>
    <w:p w14:paraId="045471C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color w:val="000000"/>
          <w:sz w:val="32"/>
          <w:szCs w:val="32"/>
          <w:highlight w:val="none"/>
        </w:rPr>
      </w:pPr>
      <w:r>
        <w:rPr>
          <w:rFonts w:hint="eastAsia" w:ascii="Times New Roman" w:hAnsi="Times New Roman" w:eastAsia="方正仿宋_GBK" w:cs="Times New Roman"/>
          <w:sz w:val="32"/>
          <w:szCs w:val="32"/>
          <w:highlight w:val="none"/>
        </w:rPr>
        <w:t>1</w:t>
      </w:r>
      <w:r>
        <w:rPr>
          <w:rFonts w:hint="eastAsia" w:ascii="Times New Roman" w:hAnsi="Times New Roman" w:eastAsia="方正仿宋_GBK" w:cs="Times New Roman"/>
          <w:sz w:val="32"/>
          <w:szCs w:val="32"/>
          <w:highlight w:val="none"/>
          <w:lang w:val="en-US" w:eastAsia="zh-CN"/>
        </w:rPr>
        <w:t>3</w:t>
      </w:r>
      <w:r>
        <w:rPr>
          <w:rFonts w:hint="eastAsia" w:ascii="Times New Roman" w:hAnsi="Times New Roman" w:eastAsia="方正仿宋_GBK" w:cs="Times New Roman"/>
          <w:sz w:val="32"/>
          <w:szCs w:val="32"/>
          <w:highlight w:val="none"/>
          <w:lang w:eastAsia="zh-CN"/>
        </w:rPr>
        <w:t xml:space="preserve">. </w:t>
      </w:r>
      <w:r>
        <w:rPr>
          <w:rFonts w:hint="eastAsia" w:ascii="Times New Roman" w:hAnsi="Times New Roman" w:eastAsia="方正仿宋_GBK" w:cs="Times New Roman"/>
          <w:sz w:val="32"/>
          <w:szCs w:val="32"/>
          <w:highlight w:val="none"/>
        </w:rPr>
        <w:t>严格危险货物装卸安全监管。</w:t>
      </w:r>
      <w:r>
        <w:rPr>
          <w:rFonts w:ascii="Times New Roman" w:hAnsi="Times New Roman" w:eastAsia="方正仿宋_GBK"/>
          <w:sz w:val="32"/>
          <w:szCs w:val="32"/>
          <w:highlight w:val="none"/>
        </w:rPr>
        <w:t>督促装货人充装或者装载前，查验车辆、人员的有效证件以及实际装载货物的品名、种类、数量等与运单的一致性，车辆、人员不符合要求和运单与实际装货不一致的不得进行充装或装载。负有安全生产监督管理职责的部门应当按照职责分工，督促危险化学品生产、储存、经营、使用企业（单位）、民用爆炸物品生产、销售企业和危险废物产生单位按照《危险货物道路运输安全管理办法》的规定，建立健全并严格执行充装或装载查验、记录制度，严格落实</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人、车、罐、货、超五必查</w:t>
      </w:r>
      <w:r>
        <w:rPr>
          <w:rFonts w:hint="eastAsia" w:ascii="Times New Roman" w:hAnsi="Times New Roman" w:eastAsia="方正仿宋_GBK"/>
          <w:sz w:val="32"/>
          <w:szCs w:val="32"/>
          <w:highlight w:val="none"/>
        </w:rPr>
        <w:t>”</w:t>
      </w:r>
      <w:r>
        <w:rPr>
          <w:rFonts w:ascii="Times New Roman" w:hAnsi="Times New Roman" w:eastAsia="方正仿宋_GBK"/>
          <w:sz w:val="32"/>
          <w:szCs w:val="32"/>
          <w:highlight w:val="none"/>
        </w:rPr>
        <w:t>，并通过全省危险货物道路运输电子运单系统确认，形成装货电子记录。收货人应当设置车辆临时停放、卸货场地，按安全操作规程及时进行收货、卸货作业；</w:t>
      </w:r>
      <w:r>
        <w:rPr>
          <w:rFonts w:ascii="Times New Roman" w:hAnsi="Times New Roman" w:eastAsia="方正仿宋_GBK"/>
          <w:color w:val="000000"/>
          <w:sz w:val="32"/>
          <w:szCs w:val="32"/>
          <w:highlight w:val="none"/>
        </w:rPr>
        <w:t>严禁危险货物运输车辆在卸货后直接实施排空等作业。每日22时至次日凌晨5时原则上不进行危险货物充装作业，确需连续充装的，装货人必须协调提供凌晨2至5时完成充装作业危险货物车辆的停放场所，无法提供的不得开展充装作业。</w:t>
      </w:r>
      <w:r>
        <w:rPr>
          <w:rFonts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交通运输局牵头，</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工业和信息化局、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公安局</w:t>
      </w:r>
      <w:r>
        <w:rPr>
          <w:rFonts w:hint="eastAsia" w:ascii="Times New Roman" w:hAnsi="Times New Roman" w:eastAsia="方正仿宋_GBK" w:cs="Times New Roman"/>
          <w:color w:val="000000"/>
          <w:sz w:val="32"/>
          <w:szCs w:val="32"/>
          <w:highlight w:val="none"/>
          <w:lang w:eastAsia="zh-CN"/>
        </w:rPr>
        <w:t>、</w:t>
      </w:r>
      <w:r>
        <w:rPr>
          <w:rFonts w:hint="eastAsia" w:ascii="Times New Roman" w:hAnsi="Times New Roman" w:eastAsia="方正仿宋_GBK" w:cs="Times New Roman"/>
          <w:color w:val="000000"/>
          <w:sz w:val="32"/>
          <w:szCs w:val="32"/>
          <w:highlight w:val="none"/>
          <w:lang w:val="en-US" w:eastAsia="zh-CN"/>
        </w:rPr>
        <w:t>盐城市滨海生态环境局</w:t>
      </w:r>
      <w:r>
        <w:rPr>
          <w:rFonts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县</w:t>
      </w:r>
      <w:r>
        <w:rPr>
          <w:rFonts w:hint="eastAsia" w:ascii="Times New Roman" w:hAnsi="Times New Roman" w:eastAsia="方正仿宋_GBK" w:cs="Times New Roman"/>
          <w:color w:val="000000"/>
          <w:sz w:val="32"/>
          <w:szCs w:val="32"/>
          <w:highlight w:val="none"/>
        </w:rPr>
        <w:t>住房和城乡</w:t>
      </w:r>
      <w:r>
        <w:rPr>
          <w:rFonts w:ascii="Times New Roman" w:hAnsi="Times New Roman" w:eastAsia="方正仿宋_GBK" w:cs="Times New Roman"/>
          <w:color w:val="000000"/>
          <w:sz w:val="32"/>
          <w:szCs w:val="32"/>
          <w:highlight w:val="none"/>
        </w:rPr>
        <w:t>建设局、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应急管理局、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市场监督管理局按职责分工负责）</w:t>
      </w:r>
    </w:p>
    <w:p w14:paraId="05D9BB7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color w:val="000000"/>
          <w:sz w:val="32"/>
          <w:szCs w:val="32"/>
          <w:highlight w:val="none"/>
        </w:rPr>
      </w:pPr>
      <w:r>
        <w:rPr>
          <w:rFonts w:ascii="Times New Roman" w:hAnsi="Times New Roman" w:eastAsia="方正仿宋_GBK" w:cs="Times New Roman"/>
          <w:color w:val="000000"/>
          <w:sz w:val="32"/>
          <w:szCs w:val="32"/>
          <w:highlight w:val="none"/>
        </w:rPr>
        <w:t>1</w:t>
      </w:r>
      <w:r>
        <w:rPr>
          <w:rFonts w:hint="eastAsia" w:ascii="Times New Roman" w:hAnsi="Times New Roman" w:eastAsia="方正仿宋_GBK" w:cs="Times New Roman"/>
          <w:color w:val="000000"/>
          <w:sz w:val="32"/>
          <w:szCs w:val="32"/>
          <w:highlight w:val="none"/>
          <w:lang w:val="en-US" w:eastAsia="zh-CN"/>
        </w:rPr>
        <w:t>4</w:t>
      </w:r>
      <w:r>
        <w:rPr>
          <w:rFonts w:hint="eastAsia" w:ascii="Times New Roman" w:hAnsi="Times New Roman" w:eastAsia="方正仿宋_GBK" w:cs="Times New Roman"/>
          <w:color w:val="000000"/>
          <w:sz w:val="32"/>
          <w:szCs w:val="32"/>
          <w:highlight w:val="none"/>
          <w:lang w:eastAsia="zh-CN"/>
        </w:rPr>
        <w:t xml:space="preserve">. </w:t>
      </w:r>
      <w:r>
        <w:rPr>
          <w:rFonts w:ascii="Times New Roman" w:hAnsi="Times New Roman" w:eastAsia="方正仿宋_GBK" w:cs="Times New Roman"/>
          <w:color w:val="000000"/>
          <w:sz w:val="32"/>
          <w:szCs w:val="32"/>
          <w:highlight w:val="none"/>
        </w:rPr>
        <w:t>严格水路运输安全监管。</w:t>
      </w:r>
      <w:r>
        <w:rPr>
          <w:rFonts w:ascii="Times New Roman" w:hAnsi="Times New Roman" w:eastAsia="方正仿宋_GBK"/>
          <w:color w:val="000000"/>
          <w:sz w:val="32"/>
          <w:szCs w:val="32"/>
          <w:highlight w:val="none"/>
        </w:rPr>
        <w:t>将船舶载运危险货物风险纳入重大风险防范化解工作内容。开展船舶载运危险货物安全专项整治，强化载运危险货物船舶源头管理，加强船载危险货物现场监督检查，严厉打击谎报瞒报，私自改动货物管线和舱室布置</w:t>
      </w:r>
      <w:r>
        <w:rPr>
          <w:rFonts w:hint="eastAsia" w:ascii="Times New Roman" w:hAnsi="Times New Roman" w:eastAsia="方正仿宋_GBK"/>
          <w:color w:val="000000"/>
          <w:sz w:val="32"/>
          <w:szCs w:val="32"/>
          <w:highlight w:val="none"/>
        </w:rPr>
        <w:t>，</w:t>
      </w:r>
      <w:r>
        <w:rPr>
          <w:rFonts w:ascii="Times New Roman" w:hAnsi="Times New Roman" w:eastAsia="方正仿宋_GBK"/>
          <w:color w:val="000000"/>
          <w:sz w:val="32"/>
          <w:szCs w:val="32"/>
          <w:highlight w:val="none"/>
        </w:rPr>
        <w:t>违法处置危险货物残留物、非法过驳作业等违法行为。督促企业切实履行船舶载运危险货物安全管理第一责任人义务</w:t>
      </w:r>
      <w:r>
        <w:rPr>
          <w:rFonts w:hint="eastAsia" w:ascii="Times New Roman" w:hAnsi="Times New Roman" w:eastAsia="方正仿宋_GBK"/>
          <w:color w:val="000000"/>
          <w:sz w:val="32"/>
          <w:szCs w:val="32"/>
          <w:highlight w:val="none"/>
        </w:rPr>
        <w:t>，</w:t>
      </w:r>
      <w:r>
        <w:rPr>
          <w:rFonts w:ascii="Times New Roman" w:hAnsi="Times New Roman" w:eastAsia="方正仿宋_GBK"/>
          <w:color w:val="000000"/>
          <w:sz w:val="32"/>
          <w:szCs w:val="32"/>
          <w:highlight w:val="none"/>
        </w:rPr>
        <w:t>有效实施体系监控，提高船舶安全管理水平。</w:t>
      </w:r>
      <w:r>
        <w:rPr>
          <w:rFonts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交通运输局</w:t>
      </w:r>
      <w:r>
        <w:rPr>
          <w:rFonts w:hint="eastAsia" w:ascii="Times New Roman" w:hAnsi="Times New Roman" w:eastAsia="方正仿宋_GBK" w:cs="Times New Roman"/>
          <w:color w:val="000000"/>
          <w:sz w:val="32"/>
          <w:szCs w:val="32"/>
          <w:highlight w:val="none"/>
          <w:lang w:eastAsia="zh-CN"/>
        </w:rPr>
        <w:t>、</w:t>
      </w:r>
      <w:r>
        <w:rPr>
          <w:rFonts w:ascii="Times New Roman" w:hAnsi="Times New Roman" w:eastAsia="方正仿宋_GBK" w:cs="Times New Roman"/>
          <w:color w:val="000000"/>
          <w:sz w:val="32"/>
          <w:szCs w:val="32"/>
          <w:highlight w:val="none"/>
        </w:rPr>
        <w:t>盐城</w:t>
      </w:r>
      <w:r>
        <w:rPr>
          <w:rFonts w:hint="eastAsia" w:ascii="Times New Roman" w:hAnsi="Times New Roman" w:eastAsia="方正仿宋_GBK" w:cs="Times New Roman"/>
          <w:color w:val="000000"/>
          <w:sz w:val="32"/>
          <w:szCs w:val="32"/>
          <w:highlight w:val="none"/>
          <w:lang w:val="en-US" w:eastAsia="zh-CN"/>
        </w:rPr>
        <w:t>滨海</w:t>
      </w:r>
      <w:r>
        <w:rPr>
          <w:rFonts w:ascii="Times New Roman" w:hAnsi="Times New Roman" w:eastAsia="方正仿宋_GBK" w:cs="Times New Roman"/>
          <w:color w:val="000000"/>
          <w:sz w:val="32"/>
          <w:szCs w:val="32"/>
          <w:highlight w:val="none"/>
        </w:rPr>
        <w:t>海事</w:t>
      </w:r>
      <w:r>
        <w:rPr>
          <w:rFonts w:hint="eastAsia" w:ascii="Times New Roman" w:hAnsi="Times New Roman" w:eastAsia="方正仿宋_GBK" w:cs="Times New Roman"/>
          <w:color w:val="000000"/>
          <w:sz w:val="32"/>
          <w:szCs w:val="32"/>
          <w:highlight w:val="none"/>
          <w:lang w:val="en-US" w:eastAsia="zh-CN"/>
        </w:rPr>
        <w:t>处</w:t>
      </w:r>
      <w:r>
        <w:rPr>
          <w:rFonts w:ascii="Times New Roman" w:hAnsi="Times New Roman" w:eastAsia="方正仿宋_GBK" w:cs="Times New Roman"/>
          <w:color w:val="000000"/>
          <w:sz w:val="32"/>
          <w:szCs w:val="32"/>
          <w:highlight w:val="none"/>
        </w:rPr>
        <w:t>按职责分工负责）</w:t>
      </w:r>
    </w:p>
    <w:p w14:paraId="1366214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color w:val="000000"/>
          <w:sz w:val="32"/>
          <w:szCs w:val="32"/>
          <w:highlight w:val="none"/>
        </w:rPr>
      </w:pPr>
      <w:r>
        <w:rPr>
          <w:rFonts w:ascii="Times New Roman" w:hAnsi="Times New Roman" w:eastAsia="方正仿宋_GBK" w:cs="Times New Roman"/>
          <w:color w:val="000000"/>
          <w:sz w:val="32"/>
          <w:szCs w:val="32"/>
          <w:highlight w:val="none"/>
        </w:rPr>
        <w:t>1</w:t>
      </w:r>
      <w:r>
        <w:rPr>
          <w:rFonts w:hint="eastAsia" w:ascii="Times New Roman" w:hAnsi="Times New Roman" w:eastAsia="方正仿宋_GBK" w:cs="Times New Roman"/>
          <w:color w:val="000000"/>
          <w:sz w:val="32"/>
          <w:szCs w:val="32"/>
          <w:highlight w:val="none"/>
          <w:lang w:val="en-US" w:eastAsia="zh-CN"/>
        </w:rPr>
        <w:t>5</w:t>
      </w:r>
      <w:r>
        <w:rPr>
          <w:rFonts w:hint="eastAsia" w:ascii="Times New Roman" w:hAnsi="Times New Roman" w:eastAsia="方正仿宋_GBK" w:cs="Times New Roman"/>
          <w:color w:val="000000"/>
          <w:sz w:val="32"/>
          <w:szCs w:val="32"/>
          <w:highlight w:val="none"/>
          <w:lang w:eastAsia="zh-CN"/>
        </w:rPr>
        <w:t xml:space="preserve">. </w:t>
      </w:r>
      <w:r>
        <w:rPr>
          <w:rFonts w:ascii="Times New Roman" w:hAnsi="Times New Roman" w:eastAsia="方正仿宋_GBK" w:cs="Times New Roman"/>
          <w:color w:val="000000"/>
          <w:sz w:val="32"/>
          <w:szCs w:val="32"/>
          <w:highlight w:val="none"/>
        </w:rPr>
        <w:t>严格落实应急救援指挥调度制度。</w:t>
      </w:r>
      <w:r>
        <w:rPr>
          <w:rFonts w:ascii="Times New Roman" w:hAnsi="Times New Roman" w:eastAsia="方正仿宋_GBK"/>
          <w:color w:val="000000"/>
          <w:sz w:val="32"/>
          <w:szCs w:val="32"/>
          <w:highlight w:val="none"/>
        </w:rPr>
        <w:t>提高危险化学品运输事故救援处置能力，事故发生后县级人民政府领导要第一时间赴现场调度指挥，确保救援力量能够快速响应、高效处置。开展危险化学品道路运输交通事故调查处理，严肃追究源头责任。强化救援装备配备，联合消防科研机构、装备生产企业立项研发具有注氮、输转、堵漏、放空等救援功能的危险化学品道路运输事故处置模块车，配备至危险化学品道路运输事故多发的重点区域消防救援站。</w:t>
      </w:r>
      <w:r>
        <w:rPr>
          <w:rFonts w:hint="eastAsia" w:ascii="Times New Roman" w:hAnsi="Times New Roman" w:eastAsia="方正仿宋_GBK"/>
          <w:color w:val="000000"/>
          <w:sz w:val="32"/>
          <w:szCs w:val="32"/>
          <w:highlight w:val="none"/>
        </w:rPr>
        <w:t>严格执行</w:t>
      </w:r>
      <w:r>
        <w:rPr>
          <w:rFonts w:ascii="Times New Roman" w:hAnsi="Times New Roman" w:eastAsia="方正仿宋_GBK"/>
          <w:color w:val="000000"/>
          <w:sz w:val="32"/>
          <w:szCs w:val="32"/>
          <w:highlight w:val="none"/>
        </w:rPr>
        <w:t>《江苏省高速公路危险化学品运输车辆交通事故应急处置工作规范》，进一步健全完善事故联动应急处置机制</w:t>
      </w:r>
      <w:r>
        <w:rPr>
          <w:rFonts w:hint="eastAsia"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公安局、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交通运输局、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卫生健康委员会、</w:t>
      </w:r>
      <w:r>
        <w:rPr>
          <w:rFonts w:hint="eastAsia" w:ascii="Times New Roman" w:hAnsi="Times New Roman" w:eastAsia="方正仿宋_GBK" w:cs="Times New Roman"/>
          <w:color w:val="000000"/>
          <w:sz w:val="32"/>
          <w:szCs w:val="32"/>
          <w:highlight w:val="none"/>
          <w:lang w:val="en-US" w:eastAsia="zh-CN"/>
        </w:rPr>
        <w:t>盐城市滨海生态环境局</w:t>
      </w:r>
      <w:r>
        <w:rPr>
          <w:rFonts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应急管理局、</w:t>
      </w:r>
      <w:r>
        <w:rPr>
          <w:rFonts w:hint="eastAsia" w:ascii="Times New Roman" w:hAnsi="Times New Roman" w:eastAsia="方正仿宋_GBK" w:cs="Times New Roman"/>
          <w:color w:val="000000"/>
          <w:sz w:val="32"/>
          <w:szCs w:val="32"/>
          <w:highlight w:val="none"/>
          <w:lang w:val="en-US" w:eastAsia="zh-CN"/>
        </w:rPr>
        <w:t>县消防救援局</w:t>
      </w:r>
      <w:r>
        <w:rPr>
          <w:rFonts w:ascii="Times New Roman" w:hAnsi="Times New Roman" w:eastAsia="方正仿宋_GBK" w:cs="Times New Roman"/>
          <w:color w:val="000000"/>
          <w:sz w:val="32"/>
          <w:szCs w:val="32"/>
          <w:highlight w:val="none"/>
        </w:rPr>
        <w:t>按职责分工负责</w:t>
      </w:r>
      <w:r>
        <w:rPr>
          <w:rFonts w:hint="eastAsia" w:ascii="Times New Roman" w:hAnsi="Times New Roman" w:eastAsia="方正仿宋_GBK" w:cs="Times New Roman"/>
          <w:color w:val="000000"/>
          <w:sz w:val="32"/>
          <w:szCs w:val="32"/>
          <w:highlight w:val="none"/>
        </w:rPr>
        <w:t>）。</w:t>
      </w:r>
      <w:r>
        <w:rPr>
          <w:rFonts w:ascii="Times New Roman" w:hAnsi="Times New Roman" w:eastAsia="方正仿宋_GBK"/>
          <w:color w:val="000000"/>
          <w:sz w:val="32"/>
          <w:szCs w:val="32"/>
          <w:highlight w:val="none"/>
        </w:rPr>
        <w:t>要建立完善船载危险化学品事故应急预案，做好应急预案</w:t>
      </w:r>
      <w:r>
        <w:rPr>
          <w:rFonts w:hint="eastAsia" w:ascii="Times New Roman" w:hAnsi="Times New Roman" w:eastAsia="方正仿宋_GBK" w:cs="Times New Roman"/>
          <w:color w:val="000000"/>
          <w:sz w:val="32"/>
          <w:szCs w:val="32"/>
          <w:highlight w:val="none"/>
          <w:lang w:val="en-US" w:eastAsia="zh-CN"/>
        </w:rPr>
        <w:t>“县、镇”</w:t>
      </w:r>
      <w:r>
        <w:rPr>
          <w:rFonts w:ascii="Times New Roman" w:hAnsi="Times New Roman" w:eastAsia="方正仿宋_GBK" w:cs="Times New Roman"/>
          <w:color w:val="000000"/>
          <w:sz w:val="32"/>
          <w:szCs w:val="32"/>
          <w:highlight w:val="none"/>
        </w:rPr>
        <w:t>和</w:t>
      </w:r>
      <w:r>
        <w:rPr>
          <w:rFonts w:hint="eastAsia" w:ascii="Times New Roman" w:hAnsi="Times New Roman" w:eastAsia="方正仿宋_GBK" w:cs="Times New Roman"/>
          <w:color w:val="000000"/>
          <w:sz w:val="32"/>
          <w:szCs w:val="32"/>
          <w:highlight w:val="none"/>
        </w:rPr>
        <w:t>“</w:t>
      </w:r>
      <w:r>
        <w:rPr>
          <w:rFonts w:ascii="Times New Roman" w:hAnsi="Times New Roman" w:eastAsia="方正仿宋_GBK" w:cs="Times New Roman"/>
          <w:color w:val="000000"/>
          <w:sz w:val="32"/>
          <w:szCs w:val="32"/>
          <w:highlight w:val="none"/>
        </w:rPr>
        <w:t>水、陆</w:t>
      </w:r>
      <w:r>
        <w:rPr>
          <w:rFonts w:hint="eastAsia" w:ascii="Times New Roman" w:hAnsi="Times New Roman" w:eastAsia="方正仿宋_GBK" w:cs="Times New Roman"/>
          <w:color w:val="000000"/>
          <w:sz w:val="32"/>
          <w:szCs w:val="32"/>
          <w:highlight w:val="none"/>
        </w:rPr>
        <w:t>”</w:t>
      </w:r>
      <w:r>
        <w:rPr>
          <w:rFonts w:ascii="Times New Roman" w:hAnsi="Times New Roman" w:eastAsia="方正仿宋_GBK" w:cs="Times New Roman"/>
          <w:color w:val="000000"/>
          <w:sz w:val="32"/>
          <w:szCs w:val="32"/>
          <w:highlight w:val="none"/>
        </w:rPr>
        <w:t>之间的衔接，定期开展实训演练，不断提升</w:t>
      </w:r>
      <w:r>
        <w:rPr>
          <w:rFonts w:ascii="Times New Roman" w:hAnsi="Times New Roman" w:eastAsia="方正仿宋_GBK"/>
          <w:color w:val="000000"/>
          <w:sz w:val="32"/>
          <w:szCs w:val="32"/>
          <w:highlight w:val="none"/>
        </w:rPr>
        <w:t>应急预案的针对性、实用性和可操作性。鼓励行业协会和危险货物运输企业联盟建立网络互助救援体系，建立区域性应急救援队伍。积极探索研究船载危险化学品险情应急救援机制。</w:t>
      </w:r>
      <w:r>
        <w:rPr>
          <w:rFonts w:hint="eastAsia"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交通运输局、</w:t>
      </w:r>
      <w:r>
        <w:rPr>
          <w:rFonts w:hint="eastAsia" w:ascii="Times New Roman" w:hAnsi="Times New Roman" w:eastAsia="方正仿宋_GBK" w:cs="Times New Roman"/>
          <w:color w:val="000000"/>
          <w:sz w:val="32"/>
          <w:szCs w:val="32"/>
          <w:highlight w:val="none"/>
          <w:lang w:val="en-US" w:eastAsia="zh-CN"/>
        </w:rPr>
        <w:t>盐城市滨海生态环境局</w:t>
      </w:r>
      <w:r>
        <w:rPr>
          <w:rFonts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应急管理局、盐城</w:t>
      </w:r>
      <w:r>
        <w:rPr>
          <w:rFonts w:hint="eastAsia" w:ascii="Times New Roman" w:hAnsi="Times New Roman" w:eastAsia="方正仿宋_GBK" w:cs="Times New Roman"/>
          <w:color w:val="000000"/>
          <w:sz w:val="32"/>
          <w:szCs w:val="32"/>
          <w:highlight w:val="none"/>
          <w:lang w:val="en-US" w:eastAsia="zh-CN"/>
        </w:rPr>
        <w:t>滨海</w:t>
      </w:r>
      <w:r>
        <w:rPr>
          <w:rFonts w:ascii="Times New Roman" w:hAnsi="Times New Roman" w:eastAsia="方正仿宋_GBK" w:cs="Times New Roman"/>
          <w:color w:val="000000"/>
          <w:sz w:val="32"/>
          <w:szCs w:val="32"/>
          <w:highlight w:val="none"/>
        </w:rPr>
        <w:t>海事</w:t>
      </w:r>
      <w:r>
        <w:rPr>
          <w:rFonts w:hint="eastAsia" w:ascii="Times New Roman" w:hAnsi="Times New Roman" w:eastAsia="方正仿宋_GBK" w:cs="Times New Roman"/>
          <w:color w:val="000000"/>
          <w:sz w:val="32"/>
          <w:szCs w:val="32"/>
          <w:highlight w:val="none"/>
          <w:lang w:val="en-US" w:eastAsia="zh-CN"/>
        </w:rPr>
        <w:t>处</w:t>
      </w:r>
      <w:r>
        <w:rPr>
          <w:rFonts w:ascii="Times New Roman" w:hAnsi="Times New Roman" w:eastAsia="方正仿宋_GBK" w:cs="Times New Roman"/>
          <w:color w:val="000000"/>
          <w:sz w:val="32"/>
          <w:szCs w:val="32"/>
          <w:highlight w:val="none"/>
        </w:rPr>
        <w:t>按职责分工负责</w:t>
      </w:r>
      <w:r>
        <w:rPr>
          <w:rFonts w:hint="eastAsia" w:ascii="Times New Roman" w:hAnsi="Times New Roman" w:eastAsia="方正仿宋_GBK" w:cs="Times New Roman"/>
          <w:color w:val="000000"/>
          <w:sz w:val="32"/>
          <w:szCs w:val="32"/>
          <w:highlight w:val="none"/>
        </w:rPr>
        <w:t>）</w:t>
      </w:r>
    </w:p>
    <w:p w14:paraId="0451C10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楷体_GBK"/>
          <w:color w:val="000000"/>
          <w:sz w:val="32"/>
          <w:szCs w:val="32"/>
          <w:highlight w:val="none"/>
        </w:rPr>
      </w:pPr>
      <w:r>
        <w:rPr>
          <w:rFonts w:ascii="Times New Roman" w:hAnsi="Times New Roman" w:eastAsia="方正楷体_GBK"/>
          <w:color w:val="000000"/>
          <w:sz w:val="32"/>
          <w:szCs w:val="32"/>
          <w:highlight w:val="none"/>
        </w:rPr>
        <w:t>（六）严控使用环节安全风险</w:t>
      </w:r>
    </w:p>
    <w:p w14:paraId="093CF6E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s="Times New Roman"/>
          <w:color w:val="000000"/>
          <w:sz w:val="32"/>
          <w:szCs w:val="32"/>
          <w:highlight w:val="none"/>
        </w:rPr>
      </w:pPr>
      <w:r>
        <w:rPr>
          <w:rFonts w:ascii="Times New Roman" w:hAnsi="Times New Roman" w:eastAsia="方正仿宋_GBK" w:cs="Times New Roman"/>
          <w:color w:val="000000"/>
          <w:sz w:val="32"/>
          <w:szCs w:val="32"/>
          <w:highlight w:val="none"/>
        </w:rPr>
        <w:t>1</w:t>
      </w:r>
      <w:r>
        <w:rPr>
          <w:rFonts w:hint="eastAsia" w:ascii="Times New Roman" w:hAnsi="Times New Roman" w:eastAsia="方正仿宋_GBK" w:cs="Times New Roman"/>
          <w:color w:val="000000"/>
          <w:sz w:val="32"/>
          <w:szCs w:val="32"/>
          <w:highlight w:val="none"/>
          <w:lang w:val="en-US" w:eastAsia="zh-CN"/>
        </w:rPr>
        <w:t>6</w:t>
      </w:r>
      <w:r>
        <w:rPr>
          <w:rFonts w:hint="eastAsia" w:ascii="Times New Roman" w:hAnsi="Times New Roman" w:eastAsia="方正仿宋_GBK" w:cs="Times New Roman"/>
          <w:color w:val="000000"/>
          <w:sz w:val="32"/>
          <w:szCs w:val="32"/>
          <w:highlight w:val="none"/>
          <w:lang w:eastAsia="zh-CN"/>
        </w:rPr>
        <w:t xml:space="preserve">. </w:t>
      </w:r>
      <w:r>
        <w:rPr>
          <w:rFonts w:ascii="Times New Roman" w:hAnsi="Times New Roman" w:eastAsia="方正仿宋_GBK" w:cs="Times New Roman"/>
          <w:color w:val="000000"/>
          <w:sz w:val="32"/>
          <w:szCs w:val="32"/>
          <w:highlight w:val="none"/>
        </w:rPr>
        <w:t>提升危险化学品使用风险管控能力。</w:t>
      </w:r>
      <w:r>
        <w:rPr>
          <w:rFonts w:ascii="Times New Roman" w:hAnsi="Times New Roman" w:eastAsia="方正仿宋_GBK"/>
          <w:color w:val="000000"/>
          <w:sz w:val="32"/>
          <w:szCs w:val="32"/>
          <w:highlight w:val="none"/>
        </w:rPr>
        <w:t>推动</w:t>
      </w:r>
      <w:r>
        <w:rPr>
          <w:rFonts w:hint="eastAsia" w:ascii="Times New Roman" w:hAnsi="Times New Roman" w:eastAsia="方正仿宋_GBK"/>
          <w:color w:val="000000"/>
          <w:sz w:val="32"/>
          <w:szCs w:val="32"/>
          <w:highlight w:val="none"/>
          <w:lang w:val="en-US" w:eastAsia="zh-CN"/>
        </w:rPr>
        <w:t>学校、科研院所</w:t>
      </w:r>
      <w:r>
        <w:rPr>
          <w:rFonts w:ascii="Times New Roman" w:hAnsi="Times New Roman" w:eastAsia="方正仿宋_GBK"/>
          <w:color w:val="000000"/>
          <w:sz w:val="32"/>
          <w:szCs w:val="32"/>
          <w:highlight w:val="none"/>
        </w:rPr>
        <w:t>等行业领域危险化学品使用单位，落实安全风险管控措施，构建完善安全风险分级管控和隐患排查治理双重预防机制。加强工贸行业危险化学品使用重点企业风险管控，按照工贸行业重点企业安全生产通用措施，推动相关企业完善监测预警设施配备，开展同类企业交叉检查。</w:t>
      </w:r>
      <w:r>
        <w:rPr>
          <w:rFonts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县委宣传部、县</w:t>
      </w:r>
      <w:r>
        <w:rPr>
          <w:rFonts w:ascii="Times New Roman" w:hAnsi="Times New Roman" w:eastAsia="方正仿宋_GBK" w:cs="Times New Roman"/>
          <w:color w:val="000000"/>
          <w:sz w:val="32"/>
          <w:szCs w:val="32"/>
          <w:highlight w:val="none"/>
        </w:rPr>
        <w:t>发展和改革委员会、</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工业和信息化局、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公安局、</w:t>
      </w:r>
      <w:r>
        <w:rPr>
          <w:rFonts w:hint="eastAsia" w:ascii="Times New Roman" w:hAnsi="Times New Roman" w:eastAsia="方正仿宋_GBK" w:cs="Times New Roman"/>
          <w:color w:val="000000"/>
          <w:sz w:val="32"/>
          <w:szCs w:val="32"/>
          <w:highlight w:val="none"/>
          <w:lang w:val="en-US" w:eastAsia="zh-CN"/>
        </w:rPr>
        <w:t>盐城市滨海生态环境局</w:t>
      </w:r>
      <w:r>
        <w:rPr>
          <w:rFonts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县</w:t>
      </w:r>
      <w:r>
        <w:rPr>
          <w:rFonts w:hint="eastAsia" w:ascii="Times New Roman" w:hAnsi="Times New Roman" w:eastAsia="方正仿宋_GBK" w:cs="Times New Roman"/>
          <w:color w:val="000000"/>
          <w:sz w:val="32"/>
          <w:szCs w:val="32"/>
          <w:highlight w:val="none"/>
        </w:rPr>
        <w:t>住房和城乡</w:t>
      </w:r>
      <w:r>
        <w:rPr>
          <w:rFonts w:ascii="Times New Roman" w:hAnsi="Times New Roman" w:eastAsia="方正仿宋_GBK" w:cs="Times New Roman"/>
          <w:color w:val="000000"/>
          <w:sz w:val="32"/>
          <w:szCs w:val="32"/>
          <w:highlight w:val="none"/>
        </w:rPr>
        <w:t>建设局、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自然资源和规划局、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城市管理局、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交通运输局、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水利局、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农业农村局、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文化广电和旅游局、</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卫生健康委员会、</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教育局、</w:t>
      </w:r>
      <w:r>
        <w:rPr>
          <w:rFonts w:hint="eastAsia" w:ascii="Times New Roman" w:hAnsi="Times New Roman" w:eastAsia="方正仿宋_GBK" w:cs="Times New Roman"/>
          <w:color w:val="000000"/>
          <w:sz w:val="32"/>
          <w:szCs w:val="32"/>
          <w:highlight w:val="none"/>
          <w:lang w:val="en-US" w:eastAsia="zh-CN"/>
        </w:rPr>
        <w:t>县科技局、县</w:t>
      </w:r>
      <w:r>
        <w:rPr>
          <w:rFonts w:ascii="Times New Roman" w:hAnsi="Times New Roman" w:eastAsia="方正仿宋_GBK" w:cs="Times New Roman"/>
          <w:color w:val="000000"/>
          <w:sz w:val="32"/>
          <w:szCs w:val="32"/>
          <w:highlight w:val="none"/>
        </w:rPr>
        <w:t>应急管理局、</w:t>
      </w:r>
      <w:r>
        <w:rPr>
          <w:rFonts w:hint="eastAsia" w:ascii="Times New Roman" w:hAnsi="Times New Roman" w:eastAsia="方正仿宋_GBK" w:cs="Times New Roman"/>
          <w:color w:val="000000"/>
          <w:sz w:val="32"/>
          <w:szCs w:val="32"/>
          <w:highlight w:val="none"/>
          <w:lang w:val="en-US" w:eastAsia="zh-CN"/>
        </w:rPr>
        <w:t>县消防救援局</w:t>
      </w:r>
      <w:r>
        <w:rPr>
          <w:rFonts w:ascii="Times New Roman" w:hAnsi="Times New Roman" w:eastAsia="方正仿宋_GBK" w:cs="Times New Roman"/>
          <w:color w:val="000000"/>
          <w:sz w:val="32"/>
          <w:szCs w:val="32"/>
          <w:highlight w:val="none"/>
        </w:rPr>
        <w:t>等部门按职责分工负责）</w:t>
      </w:r>
    </w:p>
    <w:p w14:paraId="5474413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楷体_GBK"/>
          <w:color w:val="000000"/>
          <w:sz w:val="32"/>
          <w:szCs w:val="32"/>
          <w:highlight w:val="none"/>
        </w:rPr>
      </w:pPr>
      <w:r>
        <w:rPr>
          <w:rFonts w:ascii="Times New Roman" w:hAnsi="Times New Roman" w:eastAsia="方正楷体_GBK"/>
          <w:color w:val="000000"/>
          <w:sz w:val="32"/>
          <w:szCs w:val="32"/>
          <w:highlight w:val="none"/>
        </w:rPr>
        <w:t>（七）严控废弃处置环节安全风险</w:t>
      </w:r>
    </w:p>
    <w:p w14:paraId="697C4460">
      <w:pPr>
        <w:pStyle w:val="6"/>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ascii="Times New Roman" w:hAnsi="Times New Roman" w:eastAsia="方正仿宋_GBK" w:cs="Times New Roman"/>
          <w:color w:val="000000"/>
          <w:kern w:val="2"/>
          <w:sz w:val="32"/>
          <w:szCs w:val="32"/>
          <w:highlight w:val="none"/>
          <w:lang w:val="en-US" w:eastAsia="zh-CN" w:bidi="ar-SA"/>
        </w:rPr>
      </w:pPr>
      <w:r>
        <w:rPr>
          <w:rFonts w:ascii="Times New Roman" w:hAnsi="Times New Roman" w:eastAsia="方正仿宋_GBK" w:cs="Times New Roman"/>
          <w:color w:val="000000"/>
          <w:sz w:val="32"/>
          <w:szCs w:val="32"/>
          <w:highlight w:val="none"/>
        </w:rPr>
        <w:t>1</w:t>
      </w:r>
      <w:r>
        <w:rPr>
          <w:rFonts w:hint="eastAsia" w:ascii="Times New Roman" w:hAnsi="Times New Roman" w:eastAsia="方正仿宋_GBK" w:cs="Times New Roman"/>
          <w:color w:val="000000"/>
          <w:sz w:val="32"/>
          <w:szCs w:val="32"/>
          <w:highlight w:val="none"/>
          <w:lang w:val="en-US" w:eastAsia="zh-CN"/>
        </w:rPr>
        <w:t>7</w:t>
      </w:r>
      <w:r>
        <w:rPr>
          <w:rFonts w:hint="eastAsia" w:ascii="Times New Roman" w:hAnsi="Times New Roman" w:eastAsia="方正仿宋_GBK" w:cs="Times New Roman"/>
          <w:color w:val="000000"/>
          <w:sz w:val="32"/>
          <w:szCs w:val="32"/>
          <w:highlight w:val="none"/>
          <w:lang w:eastAsia="zh-CN"/>
        </w:rPr>
        <w:t xml:space="preserve">. </w:t>
      </w:r>
      <w:r>
        <w:rPr>
          <w:rFonts w:ascii="Times New Roman" w:hAnsi="Times New Roman" w:eastAsia="方正仿宋_GBK" w:cs="Times New Roman"/>
          <w:color w:val="000000"/>
          <w:sz w:val="32"/>
          <w:szCs w:val="32"/>
          <w:highlight w:val="none"/>
        </w:rPr>
        <w:t>提高部门协同监管能力</w:t>
      </w:r>
      <w:r>
        <w:rPr>
          <w:rFonts w:ascii="Times New Roman" w:hAnsi="Times New Roman" w:eastAsia="方正仿宋_GBK"/>
          <w:b w:val="0"/>
          <w:bCs w:val="0"/>
          <w:color w:val="000000"/>
          <w:sz w:val="32"/>
          <w:szCs w:val="32"/>
          <w:highlight w:val="none"/>
        </w:rPr>
        <w:t>。</w:t>
      </w:r>
      <w:r>
        <w:rPr>
          <w:rFonts w:ascii="Times New Roman" w:hAnsi="Times New Roman" w:eastAsia="方正仿宋_GBK"/>
          <w:color w:val="000000"/>
          <w:sz w:val="32"/>
          <w:szCs w:val="32"/>
          <w:highlight w:val="none"/>
        </w:rPr>
        <w:t>落实生态、应急两部门项目源头审批、危险废物监管、环境治理设施监管、联合执法、联合会商等</w:t>
      </w:r>
      <w:r>
        <w:rPr>
          <w:rFonts w:hint="eastAsia" w:ascii="Times New Roman" w:hAnsi="Times New Roman" w:eastAsia="方正仿宋_GBK"/>
          <w:color w:val="000000"/>
          <w:sz w:val="32"/>
          <w:szCs w:val="32"/>
          <w:highlight w:val="none"/>
        </w:rPr>
        <w:t>“</w:t>
      </w:r>
      <w:r>
        <w:rPr>
          <w:rFonts w:ascii="Times New Roman" w:hAnsi="Times New Roman" w:eastAsia="方正仿宋_GBK"/>
          <w:color w:val="000000"/>
          <w:sz w:val="32"/>
          <w:szCs w:val="32"/>
          <w:highlight w:val="none"/>
        </w:rPr>
        <w:t>五项联动</w:t>
      </w:r>
      <w:r>
        <w:rPr>
          <w:rFonts w:hint="eastAsia" w:ascii="Times New Roman" w:hAnsi="Times New Roman" w:eastAsia="方正仿宋_GBK"/>
          <w:color w:val="000000"/>
          <w:sz w:val="32"/>
          <w:szCs w:val="32"/>
          <w:highlight w:val="none"/>
        </w:rPr>
        <w:t>”</w:t>
      </w:r>
      <w:r>
        <w:rPr>
          <w:rFonts w:ascii="Times New Roman" w:hAnsi="Times New Roman" w:eastAsia="方正仿宋_GBK"/>
          <w:color w:val="000000"/>
          <w:sz w:val="32"/>
          <w:szCs w:val="32"/>
          <w:highlight w:val="none"/>
        </w:rPr>
        <w:t>机制。强化废弃化学品专项整治，开展废弃危险化学品领域重大事故隐患专项排查，重点防范化解环保设施改造过程中的安全风险。</w:t>
      </w:r>
      <w:r>
        <w:rPr>
          <w:rFonts w:ascii="Times New Roman" w:hAnsi="Times New Roman" w:eastAsia="方正仿宋_GBK" w:cs="Times New Roman"/>
          <w:color w:val="000000"/>
          <w:kern w:val="2"/>
          <w:sz w:val="32"/>
          <w:szCs w:val="32"/>
          <w:highlight w:val="none"/>
          <w:lang w:val="en-US" w:eastAsia="zh-CN" w:bidi="ar-SA"/>
        </w:rPr>
        <w:t>（</w:t>
      </w:r>
      <w:r>
        <w:rPr>
          <w:rFonts w:hint="eastAsia" w:ascii="Times New Roman" w:hAnsi="Times New Roman" w:eastAsia="方正仿宋_GBK" w:cs="Times New Roman"/>
          <w:color w:val="000000"/>
          <w:kern w:val="2"/>
          <w:sz w:val="32"/>
          <w:szCs w:val="32"/>
          <w:highlight w:val="none"/>
          <w:lang w:val="en-US" w:eastAsia="zh-CN" w:bidi="ar-SA"/>
        </w:rPr>
        <w:t>盐城市滨海生态环境局</w:t>
      </w:r>
      <w:r>
        <w:rPr>
          <w:rFonts w:ascii="Times New Roman" w:hAnsi="Times New Roman" w:eastAsia="方正仿宋_GBK" w:cs="Times New Roman"/>
          <w:color w:val="000000"/>
          <w:kern w:val="2"/>
          <w:sz w:val="32"/>
          <w:szCs w:val="32"/>
          <w:highlight w:val="none"/>
          <w:lang w:val="en-US" w:eastAsia="zh-CN" w:bidi="ar-SA"/>
        </w:rPr>
        <w:t>、</w:t>
      </w:r>
      <w:r>
        <w:rPr>
          <w:rFonts w:hint="eastAsia" w:ascii="Times New Roman" w:hAnsi="Times New Roman" w:eastAsia="方正仿宋_GBK" w:cs="Times New Roman"/>
          <w:color w:val="000000"/>
          <w:kern w:val="2"/>
          <w:sz w:val="32"/>
          <w:szCs w:val="32"/>
          <w:highlight w:val="none"/>
          <w:lang w:val="en-US" w:eastAsia="zh-CN" w:bidi="ar-SA"/>
        </w:rPr>
        <w:t>县</w:t>
      </w:r>
      <w:r>
        <w:rPr>
          <w:rFonts w:ascii="Times New Roman" w:hAnsi="Times New Roman" w:eastAsia="方正仿宋_GBK" w:cs="Times New Roman"/>
          <w:color w:val="000000"/>
          <w:kern w:val="2"/>
          <w:sz w:val="32"/>
          <w:szCs w:val="32"/>
          <w:highlight w:val="none"/>
          <w:lang w:val="en-US" w:eastAsia="zh-CN" w:bidi="ar-SA"/>
        </w:rPr>
        <w:t>应急管理局按职责分工负责）</w:t>
      </w:r>
    </w:p>
    <w:p w14:paraId="305F4340">
      <w:pPr>
        <w:pStyle w:val="6"/>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ascii="Times New Roman" w:hAnsi="Times New Roman" w:eastAsia="方正仿宋_GBK" w:cs="Times New Roman"/>
          <w:color w:val="000000"/>
          <w:sz w:val="32"/>
          <w:szCs w:val="32"/>
          <w:highlight w:val="none"/>
        </w:rPr>
      </w:pPr>
      <w:r>
        <w:rPr>
          <w:rFonts w:hint="eastAsia" w:ascii="Times New Roman" w:hAnsi="Times New Roman" w:eastAsia="方正仿宋_GBK" w:cs="Times New Roman"/>
          <w:color w:val="000000"/>
          <w:kern w:val="2"/>
          <w:sz w:val="32"/>
          <w:szCs w:val="32"/>
          <w:highlight w:val="none"/>
          <w:lang w:val="en-US" w:eastAsia="zh-CN" w:bidi="ar-SA"/>
        </w:rPr>
        <w:t>18. 提高清洗作业管控能力。</w:t>
      </w:r>
      <w:r>
        <w:rPr>
          <w:rFonts w:ascii="Times New Roman" w:hAnsi="Times New Roman" w:eastAsia="方正仿宋_GBK"/>
          <w:color w:val="000000"/>
          <w:sz w:val="32"/>
          <w:szCs w:val="32"/>
          <w:highlight w:val="none"/>
        </w:rPr>
        <w:t>督促道路危险货物运输企业和单位按照法律法规要求，安排危险货物运输车辆到具有污染物处理能力的机构开展常压罐车和罐式集装箱罐体清洗（置换）作业，不得将车辆送至未依法办理安评、环评、消防</w:t>
      </w:r>
      <w:r>
        <w:rPr>
          <w:rFonts w:hint="eastAsia" w:ascii="Times New Roman" w:hAnsi="Times New Roman" w:eastAsia="方正仿宋_GBK"/>
          <w:color w:val="000000"/>
          <w:sz w:val="32"/>
          <w:szCs w:val="32"/>
          <w:highlight w:val="none"/>
        </w:rPr>
        <w:t>等</w:t>
      </w:r>
      <w:r>
        <w:rPr>
          <w:rFonts w:ascii="Times New Roman" w:hAnsi="Times New Roman" w:eastAsia="方正仿宋_GBK"/>
          <w:color w:val="000000"/>
          <w:sz w:val="32"/>
          <w:szCs w:val="32"/>
          <w:highlight w:val="none"/>
        </w:rPr>
        <w:t>相关审批手续、非法设立的清洗点清洗</w:t>
      </w:r>
      <w:r>
        <w:rPr>
          <w:rFonts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县</w:t>
      </w:r>
      <w:r>
        <w:rPr>
          <w:rFonts w:ascii="Times New Roman" w:hAnsi="Times New Roman" w:eastAsia="方正仿宋_GBK" w:cs="Times New Roman"/>
          <w:color w:val="000000"/>
          <w:sz w:val="32"/>
          <w:szCs w:val="32"/>
          <w:highlight w:val="none"/>
        </w:rPr>
        <w:t>交通运输局、</w:t>
      </w:r>
      <w:r>
        <w:rPr>
          <w:rFonts w:hint="eastAsia" w:ascii="Times New Roman" w:hAnsi="Times New Roman" w:eastAsia="方正仿宋_GBK" w:cs="Times New Roman"/>
          <w:color w:val="000000"/>
          <w:sz w:val="32"/>
          <w:szCs w:val="32"/>
          <w:highlight w:val="none"/>
          <w:lang w:val="en-US" w:eastAsia="zh-CN"/>
        </w:rPr>
        <w:t>盐城市滨海生态环境局</w:t>
      </w:r>
      <w:r>
        <w:rPr>
          <w:rFonts w:ascii="Times New Roman" w:hAnsi="Times New Roman" w:eastAsia="方正仿宋_GBK" w:cs="Times New Roman"/>
          <w:color w:val="000000"/>
          <w:sz w:val="32"/>
          <w:szCs w:val="32"/>
          <w:highlight w:val="none"/>
        </w:rPr>
        <w:t>按职责分工负责）。生态环境部</w:t>
      </w:r>
      <w:r>
        <w:rPr>
          <w:rFonts w:ascii="Times New Roman" w:hAnsi="Times New Roman" w:eastAsia="方正仿宋_GBK"/>
          <w:color w:val="000000"/>
          <w:sz w:val="32"/>
          <w:szCs w:val="32"/>
          <w:highlight w:val="none"/>
        </w:rPr>
        <w:t>门定期向社会公布经环评审批的危货道路运输车辆罐体清洗建设项目清单。</w:t>
      </w:r>
      <w:r>
        <w:rPr>
          <w:rFonts w:ascii="Times New Roman" w:hAnsi="Times New Roman" w:eastAsia="方正仿宋_GBK" w:cs="Times New Roman"/>
          <w:color w:val="000000"/>
          <w:sz w:val="32"/>
          <w:szCs w:val="32"/>
          <w:highlight w:val="none"/>
        </w:rPr>
        <w:t>（</w:t>
      </w:r>
      <w:r>
        <w:rPr>
          <w:rFonts w:hint="eastAsia" w:ascii="Times New Roman" w:hAnsi="Times New Roman" w:eastAsia="方正仿宋_GBK" w:cs="Times New Roman"/>
          <w:color w:val="000000"/>
          <w:sz w:val="32"/>
          <w:szCs w:val="32"/>
          <w:highlight w:val="none"/>
          <w:lang w:val="en-US" w:eastAsia="zh-CN"/>
        </w:rPr>
        <w:t>盐城市滨海生态环境局</w:t>
      </w:r>
      <w:r>
        <w:rPr>
          <w:rFonts w:ascii="Times New Roman" w:hAnsi="Times New Roman" w:eastAsia="方正仿宋_GBK" w:cs="Times New Roman"/>
          <w:color w:val="000000"/>
          <w:sz w:val="32"/>
          <w:szCs w:val="32"/>
          <w:highlight w:val="none"/>
        </w:rPr>
        <w:t>牵头负责）</w:t>
      </w:r>
    </w:p>
    <w:p w14:paraId="7E3AC95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黑体_GBK" w:cs="方正黑体_GBK"/>
          <w:color w:val="000000"/>
          <w:sz w:val="32"/>
          <w:szCs w:val="32"/>
          <w:highlight w:val="none"/>
        </w:rPr>
      </w:pPr>
      <w:r>
        <w:rPr>
          <w:rFonts w:hint="eastAsia" w:ascii="Times New Roman" w:hAnsi="Times New Roman" w:eastAsia="方正黑体_GBK" w:cs="方正黑体_GBK"/>
          <w:color w:val="000000"/>
          <w:sz w:val="32"/>
          <w:szCs w:val="32"/>
          <w:highlight w:val="none"/>
        </w:rPr>
        <w:t>三、时间安排</w:t>
      </w:r>
    </w:p>
    <w:p w14:paraId="7FE20AB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olor w:val="000000"/>
          <w:sz w:val="32"/>
          <w:szCs w:val="32"/>
          <w:highlight w:val="none"/>
        </w:rPr>
      </w:pPr>
      <w:r>
        <w:rPr>
          <w:rFonts w:ascii="Times New Roman" w:hAnsi="Times New Roman" w:eastAsia="方正楷体_GBK"/>
          <w:color w:val="000000"/>
          <w:sz w:val="32"/>
          <w:szCs w:val="32"/>
          <w:highlight w:val="none"/>
        </w:rPr>
        <w:t>（一）集中攻坚（2024年</w:t>
      </w:r>
      <w:r>
        <w:rPr>
          <w:rFonts w:hint="eastAsia" w:ascii="Times New Roman" w:hAnsi="Times New Roman" w:eastAsia="方正楷体_GBK"/>
          <w:color w:val="000000"/>
          <w:sz w:val="32"/>
          <w:szCs w:val="32"/>
          <w:highlight w:val="none"/>
          <w:lang w:val="en-US" w:eastAsia="zh-CN"/>
        </w:rPr>
        <w:t>8</w:t>
      </w:r>
      <w:r>
        <w:rPr>
          <w:rFonts w:ascii="Times New Roman" w:hAnsi="Times New Roman" w:eastAsia="方正楷体_GBK"/>
          <w:color w:val="000000"/>
          <w:sz w:val="32"/>
          <w:szCs w:val="32"/>
          <w:highlight w:val="none"/>
        </w:rPr>
        <w:t>月至2024年12月）。</w:t>
      </w:r>
      <w:r>
        <w:rPr>
          <w:rFonts w:ascii="Times New Roman" w:hAnsi="Times New Roman" w:eastAsia="方正仿宋_GBK"/>
          <w:color w:val="000000"/>
          <w:sz w:val="32"/>
          <w:szCs w:val="32"/>
          <w:highlight w:val="none"/>
        </w:rPr>
        <w:t>各</w:t>
      </w:r>
      <w:r>
        <w:rPr>
          <w:rFonts w:hint="eastAsia" w:ascii="Times New Roman" w:hAnsi="Times New Roman" w:eastAsia="方正仿宋_GBK" w:cs="Times New Roman"/>
          <w:color w:val="000000"/>
          <w:sz w:val="32"/>
          <w:szCs w:val="32"/>
          <w:highlight w:val="none"/>
          <w:lang w:val="en-US" w:eastAsia="zh-CN"/>
        </w:rPr>
        <w:t>镇（区、街道、园区）、</w:t>
      </w:r>
      <w:r>
        <w:rPr>
          <w:rFonts w:ascii="Times New Roman" w:hAnsi="Times New Roman" w:eastAsia="方正仿宋_GBK"/>
          <w:color w:val="000000"/>
          <w:sz w:val="32"/>
          <w:szCs w:val="32"/>
          <w:highlight w:val="none"/>
        </w:rPr>
        <w:t>各有关部门要根据本方案，结合实际，制定细化实施方案，进一步明晰目标任务、细化工作措施。全面排查安全风险隐患，建立问题隐患和制度措施</w:t>
      </w:r>
      <w:r>
        <w:rPr>
          <w:rFonts w:hint="eastAsia" w:ascii="Times New Roman" w:hAnsi="Times New Roman" w:eastAsia="方正仿宋_GBK"/>
          <w:color w:val="000000"/>
          <w:sz w:val="32"/>
          <w:szCs w:val="32"/>
          <w:highlight w:val="none"/>
        </w:rPr>
        <w:t>“</w:t>
      </w:r>
      <w:r>
        <w:rPr>
          <w:rFonts w:ascii="Times New Roman" w:hAnsi="Times New Roman" w:eastAsia="方正仿宋_GBK"/>
          <w:color w:val="000000"/>
          <w:sz w:val="32"/>
          <w:szCs w:val="32"/>
          <w:highlight w:val="none"/>
        </w:rPr>
        <w:t>两个清单</w:t>
      </w:r>
      <w:r>
        <w:rPr>
          <w:rFonts w:hint="eastAsia" w:ascii="Times New Roman" w:hAnsi="Times New Roman" w:eastAsia="方正仿宋_GBK"/>
          <w:color w:val="000000"/>
          <w:sz w:val="32"/>
          <w:szCs w:val="32"/>
          <w:highlight w:val="none"/>
        </w:rPr>
        <w:t>”</w:t>
      </w:r>
      <w:r>
        <w:rPr>
          <w:rFonts w:ascii="Times New Roman" w:hAnsi="Times New Roman" w:eastAsia="方正仿宋_GBK"/>
          <w:color w:val="000000"/>
          <w:sz w:val="32"/>
          <w:szCs w:val="32"/>
          <w:highlight w:val="none"/>
        </w:rPr>
        <w:t>，制定时间表、路线图，坚持边查边改，加快推进实施。针对重点难点问题，通过现场推进会、专项攻坚等措施，强力推进问题整改，确保专项整治行动取得初步成效。</w:t>
      </w:r>
    </w:p>
    <w:p w14:paraId="16BDF26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olor w:val="000000"/>
          <w:sz w:val="32"/>
          <w:szCs w:val="32"/>
          <w:highlight w:val="none"/>
        </w:rPr>
      </w:pPr>
      <w:r>
        <w:rPr>
          <w:rFonts w:ascii="Times New Roman" w:hAnsi="Times New Roman" w:eastAsia="方正楷体_GBK"/>
          <w:color w:val="000000"/>
          <w:sz w:val="32"/>
          <w:szCs w:val="32"/>
          <w:highlight w:val="none"/>
        </w:rPr>
        <w:t>（二）持续整治（2025年6月底前）。</w:t>
      </w:r>
      <w:r>
        <w:rPr>
          <w:rFonts w:ascii="Times New Roman" w:hAnsi="Times New Roman" w:eastAsia="方正仿宋_GBK"/>
          <w:color w:val="000000"/>
          <w:sz w:val="32"/>
          <w:szCs w:val="32"/>
          <w:highlight w:val="none"/>
        </w:rPr>
        <w:t>针对集中攻坚阶段的成果，要及时总结经验、形成机制、强化运行；对未完成的工作任务，要不松劲、不手软，保质保量完成；对问题严重且经整改后仍不符合安全要求的企业，要坚决依法予以关闭退出，推动危险化学品安全风险管控能力得到明显提升。</w:t>
      </w:r>
    </w:p>
    <w:p w14:paraId="2FFFEDE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仿宋_GB2312"/>
          <w:color w:val="000000"/>
          <w:sz w:val="32"/>
          <w:szCs w:val="32"/>
          <w:highlight w:val="none"/>
        </w:rPr>
      </w:pPr>
      <w:r>
        <w:rPr>
          <w:rFonts w:ascii="Times New Roman" w:hAnsi="Times New Roman" w:eastAsia="方正楷体_GBK"/>
          <w:color w:val="000000"/>
          <w:sz w:val="32"/>
          <w:szCs w:val="32"/>
          <w:highlight w:val="none"/>
        </w:rPr>
        <w:t>（三）巩固提升（2025年12月底前）。</w:t>
      </w:r>
      <w:r>
        <w:rPr>
          <w:rFonts w:ascii="Times New Roman" w:hAnsi="Times New Roman" w:eastAsia="方正仿宋_GBK"/>
          <w:color w:val="000000"/>
          <w:sz w:val="32"/>
          <w:szCs w:val="32"/>
          <w:highlight w:val="none"/>
        </w:rPr>
        <w:t>各</w:t>
      </w:r>
      <w:r>
        <w:rPr>
          <w:rFonts w:hint="eastAsia" w:ascii="Times New Roman" w:hAnsi="Times New Roman" w:eastAsia="方正仿宋_GBK" w:cs="Times New Roman"/>
          <w:color w:val="000000"/>
          <w:sz w:val="32"/>
          <w:szCs w:val="32"/>
          <w:highlight w:val="none"/>
          <w:lang w:val="en-US" w:eastAsia="zh-CN"/>
        </w:rPr>
        <w:t>镇（区、街道、园区）、</w:t>
      </w:r>
      <w:r>
        <w:rPr>
          <w:rFonts w:ascii="Times New Roman" w:hAnsi="Times New Roman" w:eastAsia="方正仿宋_GBK" w:cs="Times New Roman"/>
          <w:color w:val="000000"/>
          <w:sz w:val="32"/>
          <w:szCs w:val="32"/>
          <w:highlight w:val="none"/>
        </w:rPr>
        <w:t>各有关部门要对化工和危险化学品安全全</w:t>
      </w:r>
      <w:r>
        <w:rPr>
          <w:rFonts w:ascii="Times New Roman" w:hAnsi="Times New Roman" w:eastAsia="方正仿宋_GBK"/>
          <w:color w:val="000000"/>
          <w:sz w:val="32"/>
          <w:szCs w:val="32"/>
          <w:highlight w:val="none"/>
        </w:rPr>
        <w:t>链条治理开展情况及时总结分析，大力推广化工和危险化学品安全全链条治理经验做法，及时形成并推广制度性成果。</w:t>
      </w:r>
    </w:p>
    <w:p w14:paraId="36C3156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黑体_GBK" w:cs="方正黑体_GBK"/>
          <w:color w:val="000000"/>
          <w:sz w:val="32"/>
          <w:szCs w:val="32"/>
          <w:highlight w:val="none"/>
        </w:rPr>
      </w:pPr>
      <w:r>
        <w:rPr>
          <w:rFonts w:hint="eastAsia" w:ascii="Times New Roman" w:hAnsi="Times New Roman" w:eastAsia="方正黑体_GBK" w:cs="方正黑体_GBK"/>
          <w:color w:val="000000"/>
          <w:sz w:val="32"/>
          <w:szCs w:val="32"/>
          <w:highlight w:val="none"/>
        </w:rPr>
        <w:t>四、保障措施</w:t>
      </w:r>
    </w:p>
    <w:p w14:paraId="53CA635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方正仿宋_GBK"/>
          <w:color w:val="auto"/>
          <w:sz w:val="32"/>
          <w:szCs w:val="32"/>
          <w:highlight w:val="none"/>
        </w:rPr>
      </w:pPr>
      <w:r>
        <w:rPr>
          <w:rFonts w:ascii="Times New Roman" w:hAnsi="Times New Roman" w:eastAsia="方正楷体_GBK"/>
          <w:color w:val="000000"/>
          <w:sz w:val="32"/>
          <w:szCs w:val="32"/>
          <w:highlight w:val="none"/>
        </w:rPr>
        <w:t>（一）加强组织领导。</w:t>
      </w:r>
      <w:r>
        <w:rPr>
          <w:rFonts w:ascii="Times New Roman" w:hAnsi="Times New Roman" w:eastAsia="方正仿宋_GBK" w:cs="Times New Roman"/>
          <w:color w:val="000000"/>
          <w:sz w:val="32"/>
          <w:szCs w:val="32"/>
          <w:highlight w:val="none"/>
        </w:rPr>
        <w:t>各</w:t>
      </w:r>
      <w:r>
        <w:rPr>
          <w:rFonts w:hint="eastAsia" w:ascii="Times New Roman" w:hAnsi="Times New Roman" w:eastAsia="方正仿宋_GBK" w:cs="Times New Roman"/>
          <w:color w:val="000000"/>
          <w:sz w:val="32"/>
          <w:szCs w:val="32"/>
          <w:highlight w:val="none"/>
          <w:lang w:val="en-US" w:eastAsia="zh-CN"/>
        </w:rPr>
        <w:t>镇（区、街道、园区）</w:t>
      </w:r>
      <w:r>
        <w:rPr>
          <w:rFonts w:ascii="Times New Roman" w:hAnsi="Times New Roman" w:eastAsia="方正仿宋_GBK" w:cs="Times New Roman"/>
          <w:color w:val="000000"/>
          <w:sz w:val="32"/>
          <w:szCs w:val="32"/>
          <w:highlight w:val="none"/>
        </w:rPr>
        <w:t>要高度重视，成立化工和危险化学品安全全链条治理专项工作组，</w:t>
      </w:r>
      <w:r>
        <w:rPr>
          <w:rFonts w:ascii="Times New Roman" w:hAnsi="Times New Roman" w:eastAsia="方正仿宋_GBK"/>
          <w:color w:val="000000"/>
          <w:sz w:val="32"/>
          <w:szCs w:val="32"/>
          <w:highlight w:val="none"/>
        </w:rPr>
        <w:t>及时研究治理过程中出现的问题，定期听取情况汇报，加强治理过程中的重大问题协调</w:t>
      </w:r>
      <w:r>
        <w:rPr>
          <w:rFonts w:hint="eastAsia" w:ascii="Times New Roman" w:hAnsi="Times New Roman" w:eastAsia="方正仿宋_GBK"/>
          <w:color w:val="000000"/>
          <w:sz w:val="32"/>
          <w:szCs w:val="32"/>
          <w:highlight w:val="none"/>
        </w:rPr>
        <w:t>。</w:t>
      </w:r>
      <w:r>
        <w:rPr>
          <w:rFonts w:ascii="Times New Roman" w:hAnsi="Times New Roman" w:eastAsia="方正仿宋_GBK" w:cs="Times New Roman"/>
          <w:color w:val="000000"/>
          <w:sz w:val="32"/>
          <w:szCs w:val="32"/>
          <w:highlight w:val="none"/>
        </w:rPr>
        <w:t>各</w:t>
      </w:r>
      <w:r>
        <w:rPr>
          <w:rFonts w:hint="eastAsia" w:ascii="Times New Roman" w:hAnsi="Times New Roman" w:eastAsia="方正仿宋_GBK" w:cs="Times New Roman"/>
          <w:color w:val="000000"/>
          <w:sz w:val="32"/>
          <w:szCs w:val="32"/>
          <w:highlight w:val="none"/>
          <w:lang w:val="en-US" w:eastAsia="zh-CN"/>
        </w:rPr>
        <w:t>镇（区、街道、园区）</w:t>
      </w:r>
      <w:r>
        <w:rPr>
          <w:rFonts w:ascii="Times New Roman" w:hAnsi="Times New Roman" w:eastAsia="方正仿宋_GBK" w:cs="Times New Roman"/>
          <w:color w:val="000000"/>
          <w:sz w:val="32"/>
          <w:szCs w:val="32"/>
          <w:highlight w:val="none"/>
        </w:rPr>
        <w:t>要压实责任，协调推进本</w:t>
      </w:r>
      <w:r>
        <w:rPr>
          <w:rFonts w:hint="eastAsia" w:ascii="Times New Roman" w:hAnsi="Times New Roman" w:eastAsia="方正仿宋_GBK" w:cs="Times New Roman"/>
          <w:color w:val="000000"/>
          <w:sz w:val="32"/>
          <w:szCs w:val="32"/>
          <w:highlight w:val="none"/>
          <w:lang w:val="en-US" w:eastAsia="zh-CN"/>
        </w:rPr>
        <w:t>辖区</w:t>
      </w:r>
      <w:r>
        <w:rPr>
          <w:rFonts w:ascii="Times New Roman" w:hAnsi="Times New Roman" w:eastAsia="方正仿宋_GBK" w:cs="Times New Roman"/>
          <w:color w:val="000000"/>
          <w:sz w:val="32"/>
          <w:szCs w:val="32"/>
          <w:highlight w:val="none"/>
        </w:rPr>
        <w:t>化工和危险化学品安全全链条治理工作，各责任部门单位要强化责任意识，主动靠前、担当作为，加</w:t>
      </w:r>
      <w:r>
        <w:rPr>
          <w:rFonts w:ascii="Times New Roman" w:hAnsi="Times New Roman" w:eastAsia="方正仿宋_GBK"/>
          <w:color w:val="000000"/>
          <w:sz w:val="32"/>
          <w:szCs w:val="32"/>
          <w:highlight w:val="none"/>
        </w:rPr>
        <w:t>强对本部门、行业、领域的治理工作的指导。</w:t>
      </w:r>
      <w:r>
        <w:rPr>
          <w:rFonts w:hint="eastAsia" w:ascii="Times New Roman" w:hAnsi="Times New Roman" w:eastAsia="方正仿宋_GBK"/>
          <w:color w:val="auto"/>
          <w:sz w:val="32"/>
          <w:szCs w:val="32"/>
          <w:highlight w:val="none"/>
          <w:lang w:val="en-US" w:eastAsia="zh-CN"/>
        </w:rPr>
        <w:t>县</w:t>
      </w:r>
      <w:r>
        <w:rPr>
          <w:rFonts w:hint="eastAsia" w:ascii="Times New Roman" w:hAnsi="Times New Roman" w:eastAsia="方正仿宋_GBK"/>
          <w:color w:val="auto"/>
          <w:sz w:val="32"/>
          <w:szCs w:val="32"/>
          <w:highlight w:val="none"/>
        </w:rPr>
        <w:t>级层面成立</w:t>
      </w:r>
      <w:r>
        <w:rPr>
          <w:rFonts w:hint="eastAsia" w:ascii="Times New Roman" w:hAnsi="Times New Roman" w:eastAsia="方正仿宋_GBK"/>
          <w:color w:val="auto"/>
          <w:sz w:val="32"/>
          <w:szCs w:val="32"/>
          <w:highlight w:val="none"/>
          <w:lang w:val="en-US" w:eastAsia="zh-CN"/>
        </w:rPr>
        <w:t>县</w:t>
      </w:r>
      <w:r>
        <w:rPr>
          <w:rFonts w:ascii="Times New Roman" w:hAnsi="Times New Roman" w:eastAsia="方正仿宋_GBK"/>
          <w:color w:val="auto"/>
          <w:sz w:val="32"/>
          <w:szCs w:val="32"/>
          <w:highlight w:val="none"/>
        </w:rPr>
        <w:t>化工和危险化学品安全全链条治理</w:t>
      </w:r>
      <w:r>
        <w:rPr>
          <w:rFonts w:hint="eastAsia" w:ascii="Times New Roman" w:hAnsi="Times New Roman" w:eastAsia="方正仿宋_GBK"/>
          <w:color w:val="auto"/>
          <w:sz w:val="32"/>
          <w:szCs w:val="32"/>
          <w:highlight w:val="none"/>
        </w:rPr>
        <w:t>专班，负责统筹协调、推进落实治理行动。</w:t>
      </w:r>
      <w:r>
        <w:rPr>
          <w:rFonts w:hint="eastAsia" w:ascii="Times New Roman" w:hAnsi="Times New Roman" w:eastAsia="方正仿宋_GBK"/>
          <w:color w:val="auto"/>
          <w:sz w:val="32"/>
          <w:szCs w:val="32"/>
          <w:highlight w:val="none"/>
          <w:lang w:val="en-US" w:eastAsia="zh-CN"/>
        </w:rPr>
        <w:t>县</w:t>
      </w:r>
      <w:r>
        <w:rPr>
          <w:rFonts w:hint="eastAsia" w:ascii="Times New Roman" w:hAnsi="Times New Roman" w:eastAsia="方正仿宋_GBK"/>
          <w:color w:val="auto"/>
          <w:sz w:val="32"/>
          <w:szCs w:val="32"/>
          <w:highlight w:val="none"/>
        </w:rPr>
        <w:t>应急</w:t>
      </w:r>
      <w:r>
        <w:rPr>
          <w:rFonts w:hint="eastAsia" w:ascii="Times New Roman" w:hAnsi="Times New Roman" w:eastAsia="方正仿宋_GBK"/>
          <w:color w:val="auto"/>
          <w:sz w:val="32"/>
          <w:szCs w:val="32"/>
          <w:highlight w:val="none"/>
          <w:lang w:val="en-US" w:eastAsia="zh-CN"/>
        </w:rPr>
        <w:t>管理</w:t>
      </w:r>
      <w:r>
        <w:rPr>
          <w:rFonts w:hint="eastAsia" w:ascii="Times New Roman" w:hAnsi="Times New Roman" w:eastAsia="方正仿宋_GBK"/>
          <w:color w:val="auto"/>
          <w:sz w:val="32"/>
          <w:szCs w:val="32"/>
          <w:highlight w:val="none"/>
        </w:rPr>
        <w:t>局为召集人单位，</w:t>
      </w:r>
      <w:r>
        <w:rPr>
          <w:rFonts w:hint="eastAsia" w:ascii="Times New Roman" w:hAnsi="Times New Roman" w:eastAsia="方正仿宋_GBK"/>
          <w:color w:val="auto"/>
          <w:sz w:val="32"/>
          <w:szCs w:val="32"/>
          <w:highlight w:val="none"/>
          <w:lang w:val="en-US" w:eastAsia="zh-CN"/>
        </w:rPr>
        <w:t>县</w:t>
      </w:r>
      <w:r>
        <w:rPr>
          <w:rFonts w:hint="eastAsia" w:ascii="Times New Roman" w:hAnsi="Times New Roman" w:eastAsia="方正仿宋_GBK"/>
          <w:color w:val="auto"/>
          <w:sz w:val="32"/>
          <w:szCs w:val="32"/>
          <w:highlight w:val="none"/>
        </w:rPr>
        <w:t>工业和信息化局、</w:t>
      </w:r>
      <w:r>
        <w:rPr>
          <w:rFonts w:hint="eastAsia" w:ascii="Times New Roman" w:hAnsi="Times New Roman" w:eastAsia="方正仿宋_GBK" w:cs="Times New Roman"/>
          <w:color w:val="auto"/>
          <w:sz w:val="32"/>
          <w:szCs w:val="32"/>
          <w:highlight w:val="none"/>
          <w:lang w:val="en-US" w:eastAsia="zh-CN"/>
        </w:rPr>
        <w:t>盐城市滨海生态环境局</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县</w:t>
      </w:r>
      <w:r>
        <w:rPr>
          <w:rFonts w:hint="eastAsia" w:ascii="Times New Roman" w:hAnsi="Times New Roman" w:eastAsia="方正仿宋_GBK"/>
          <w:color w:val="auto"/>
          <w:sz w:val="32"/>
          <w:szCs w:val="32"/>
          <w:highlight w:val="none"/>
        </w:rPr>
        <w:t>交通运输局为副召集人单位，成员由</w:t>
      </w:r>
      <w:r>
        <w:rPr>
          <w:rFonts w:hint="eastAsia" w:ascii="Times New Roman" w:hAnsi="Times New Roman" w:eastAsia="方正仿宋_GBK"/>
          <w:color w:val="auto"/>
          <w:sz w:val="32"/>
          <w:szCs w:val="32"/>
          <w:highlight w:val="none"/>
          <w:lang w:val="en-US" w:eastAsia="zh-CN"/>
        </w:rPr>
        <w:t>县委宣传部、</w:t>
      </w:r>
      <w:r>
        <w:rPr>
          <w:rFonts w:hint="eastAsia" w:ascii="Times New Roman" w:hAnsi="Times New Roman" w:eastAsia="方正仿宋_GBK"/>
          <w:color w:val="auto"/>
          <w:sz w:val="32"/>
          <w:szCs w:val="32"/>
          <w:highlight w:val="none"/>
        </w:rPr>
        <w:t>发展和改革委员会、公安局、数据局、自然资源和规划局、财政局、市场监督管理局、住房和城乡建设局、税务局、盐城</w:t>
      </w:r>
      <w:r>
        <w:rPr>
          <w:rFonts w:hint="eastAsia" w:ascii="Times New Roman" w:hAnsi="Times New Roman" w:eastAsia="方正仿宋_GBK"/>
          <w:color w:val="auto"/>
          <w:sz w:val="32"/>
          <w:szCs w:val="32"/>
          <w:highlight w:val="none"/>
          <w:lang w:val="en-US" w:eastAsia="zh-CN"/>
        </w:rPr>
        <w:t>滨海</w:t>
      </w:r>
      <w:r>
        <w:rPr>
          <w:rFonts w:hint="eastAsia" w:ascii="Times New Roman" w:hAnsi="Times New Roman" w:eastAsia="方正仿宋_GBK"/>
          <w:color w:val="auto"/>
          <w:sz w:val="32"/>
          <w:szCs w:val="32"/>
          <w:highlight w:val="none"/>
        </w:rPr>
        <w:t>海事</w:t>
      </w:r>
      <w:r>
        <w:rPr>
          <w:rFonts w:hint="eastAsia" w:ascii="Times New Roman" w:hAnsi="Times New Roman" w:eastAsia="方正仿宋_GBK"/>
          <w:color w:val="auto"/>
          <w:sz w:val="32"/>
          <w:szCs w:val="32"/>
          <w:highlight w:val="none"/>
          <w:lang w:val="en-US" w:eastAsia="zh-CN"/>
        </w:rPr>
        <w:t>处</w:t>
      </w:r>
      <w:r>
        <w:rPr>
          <w:rFonts w:hint="eastAsia" w:ascii="Times New Roman" w:hAnsi="Times New Roman" w:eastAsia="方正仿宋_GBK"/>
          <w:color w:val="auto"/>
          <w:sz w:val="32"/>
          <w:szCs w:val="32"/>
          <w:highlight w:val="none"/>
        </w:rPr>
        <w:t>、教育局、科技局、城市管理局、水利局、农业农村局、文化广电和旅游局、卫生健康委员会</w:t>
      </w:r>
      <w:r>
        <w:rPr>
          <w:rFonts w:hint="eastAsia" w:ascii="Times New Roman" w:hAnsi="Times New Roman" w:eastAsia="方正仿宋_GBK" w:cs="Times New Roman"/>
          <w:color w:val="auto"/>
          <w:sz w:val="32"/>
          <w:szCs w:val="32"/>
          <w:highlight w:val="none"/>
        </w:rPr>
        <w:t>、消防救援</w:t>
      </w:r>
      <w:r>
        <w:rPr>
          <w:rFonts w:hint="eastAsia" w:ascii="Times New Roman" w:hAnsi="Times New Roman" w:eastAsia="方正仿宋_GBK" w:cs="Times New Roman"/>
          <w:color w:val="auto"/>
          <w:sz w:val="32"/>
          <w:szCs w:val="32"/>
          <w:highlight w:val="none"/>
          <w:lang w:val="en-US" w:eastAsia="zh-CN"/>
        </w:rPr>
        <w:t>局</w:t>
      </w:r>
      <w:r>
        <w:rPr>
          <w:rFonts w:hint="eastAsia" w:ascii="Times New Roman" w:hAnsi="Times New Roman" w:eastAsia="方正仿宋_GBK" w:cs="Times New Roman"/>
          <w:color w:val="auto"/>
          <w:sz w:val="32"/>
          <w:szCs w:val="32"/>
          <w:highlight w:val="none"/>
        </w:rPr>
        <w:t>等部门单位组成。工作专班设在</w:t>
      </w:r>
      <w:r>
        <w:rPr>
          <w:rFonts w:hint="eastAsia" w:ascii="Times New Roman" w:hAnsi="Times New Roman" w:eastAsia="方正仿宋_GBK" w:cs="Times New Roman"/>
          <w:color w:val="auto"/>
          <w:sz w:val="32"/>
          <w:szCs w:val="32"/>
          <w:highlight w:val="none"/>
          <w:lang w:val="en-US" w:eastAsia="zh-CN"/>
        </w:rPr>
        <w:t>县</w:t>
      </w:r>
      <w:r>
        <w:rPr>
          <w:rFonts w:hint="eastAsia" w:ascii="Times New Roman" w:hAnsi="Times New Roman" w:eastAsia="方正仿宋_GBK" w:cs="Times New Roman"/>
          <w:color w:val="auto"/>
          <w:sz w:val="32"/>
          <w:szCs w:val="32"/>
          <w:highlight w:val="none"/>
        </w:rPr>
        <w:t>安委办，成员</w:t>
      </w:r>
      <w:r>
        <w:rPr>
          <w:rFonts w:hint="eastAsia" w:ascii="Times New Roman" w:hAnsi="Times New Roman" w:eastAsia="方正仿宋_GBK"/>
          <w:color w:val="auto"/>
          <w:sz w:val="32"/>
          <w:szCs w:val="32"/>
          <w:highlight w:val="none"/>
        </w:rPr>
        <w:t>单位派员参加（专班名单由</w:t>
      </w:r>
      <w:r>
        <w:rPr>
          <w:rFonts w:hint="eastAsia" w:ascii="Times New Roman" w:hAnsi="Times New Roman" w:eastAsia="方正仿宋_GBK"/>
          <w:color w:val="auto"/>
          <w:sz w:val="32"/>
          <w:szCs w:val="32"/>
          <w:highlight w:val="none"/>
          <w:lang w:val="en-US" w:eastAsia="zh-CN"/>
        </w:rPr>
        <w:t>县</w:t>
      </w:r>
      <w:r>
        <w:rPr>
          <w:rFonts w:hint="eastAsia" w:ascii="Times New Roman" w:hAnsi="Times New Roman" w:eastAsia="方正仿宋_GBK"/>
          <w:color w:val="auto"/>
          <w:sz w:val="32"/>
          <w:szCs w:val="32"/>
          <w:highlight w:val="none"/>
        </w:rPr>
        <w:t>安委办确定）。</w:t>
      </w:r>
    </w:p>
    <w:p w14:paraId="36478E1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olor w:val="000000"/>
          <w:sz w:val="32"/>
          <w:szCs w:val="32"/>
          <w:highlight w:val="none"/>
        </w:rPr>
      </w:pPr>
      <w:r>
        <w:rPr>
          <w:rFonts w:ascii="Times New Roman" w:hAnsi="Times New Roman" w:eastAsia="方正楷体_GBK"/>
          <w:color w:val="000000"/>
          <w:sz w:val="32"/>
          <w:szCs w:val="32"/>
          <w:highlight w:val="none"/>
        </w:rPr>
        <w:t>（二）强化政策支持。</w:t>
      </w:r>
      <w:r>
        <w:rPr>
          <w:rFonts w:ascii="Times New Roman" w:hAnsi="Times New Roman" w:eastAsia="方正仿宋_GBK" w:cs="Times New Roman"/>
          <w:color w:val="auto"/>
          <w:sz w:val="32"/>
          <w:szCs w:val="32"/>
          <w:highlight w:val="none"/>
        </w:rPr>
        <w:t>各</w:t>
      </w:r>
      <w:r>
        <w:rPr>
          <w:rFonts w:hint="eastAsia" w:ascii="Times New Roman" w:hAnsi="Times New Roman" w:eastAsia="方正仿宋_GBK" w:cs="Times New Roman"/>
          <w:color w:val="auto"/>
          <w:sz w:val="32"/>
          <w:szCs w:val="32"/>
          <w:highlight w:val="none"/>
          <w:lang w:val="en-US" w:eastAsia="zh-CN"/>
        </w:rPr>
        <w:t>镇（区、街道、园区）</w:t>
      </w:r>
      <w:r>
        <w:rPr>
          <w:rFonts w:ascii="Times New Roman" w:hAnsi="Times New Roman" w:eastAsia="方正仿宋_GBK" w:cs="Times New Roman"/>
          <w:color w:val="auto"/>
          <w:sz w:val="32"/>
          <w:szCs w:val="32"/>
          <w:highlight w:val="none"/>
        </w:rPr>
        <w:t>要</w:t>
      </w:r>
      <w:r>
        <w:rPr>
          <w:rFonts w:ascii="Times New Roman" w:hAnsi="Times New Roman" w:eastAsia="方正仿宋_GBK"/>
          <w:color w:val="auto"/>
          <w:sz w:val="32"/>
          <w:szCs w:val="32"/>
          <w:highlight w:val="none"/>
        </w:rPr>
        <w:t>结合本</w:t>
      </w:r>
      <w:r>
        <w:rPr>
          <w:rFonts w:hint="eastAsia" w:ascii="Times New Roman" w:hAnsi="Times New Roman" w:eastAsia="方正仿宋_GBK"/>
          <w:color w:val="auto"/>
          <w:sz w:val="32"/>
          <w:szCs w:val="32"/>
          <w:highlight w:val="none"/>
          <w:lang w:val="en-US" w:eastAsia="zh-CN"/>
        </w:rPr>
        <w:t>辖区</w:t>
      </w:r>
      <w:r>
        <w:rPr>
          <w:rFonts w:ascii="Times New Roman" w:hAnsi="Times New Roman" w:eastAsia="方正仿宋_GBK"/>
          <w:color w:val="auto"/>
          <w:sz w:val="32"/>
          <w:szCs w:val="32"/>
          <w:highlight w:val="none"/>
        </w:rPr>
        <w:t>危险化学品安全生产特点，突出重点目标任务，</w:t>
      </w:r>
      <w:r>
        <w:rPr>
          <w:rFonts w:hint="eastAsia" w:ascii="Times New Roman" w:hAnsi="Times New Roman" w:eastAsia="方正仿宋_GBK"/>
          <w:color w:val="auto"/>
          <w:sz w:val="32"/>
          <w:szCs w:val="32"/>
          <w:highlight w:val="none"/>
          <w:lang w:val="en-US" w:eastAsia="zh-CN"/>
        </w:rPr>
        <w:t>积极研究并</w:t>
      </w:r>
      <w:r>
        <w:rPr>
          <w:rFonts w:ascii="Times New Roman" w:hAnsi="Times New Roman" w:eastAsia="方正仿宋_GBK"/>
          <w:color w:val="auto"/>
          <w:sz w:val="32"/>
          <w:szCs w:val="32"/>
          <w:highlight w:val="none"/>
        </w:rPr>
        <w:t>从项目准入、财税、信贷、技术服务等方面</w:t>
      </w:r>
      <w:r>
        <w:rPr>
          <w:rFonts w:hint="eastAsia" w:ascii="Times New Roman" w:hAnsi="Times New Roman" w:eastAsia="方正仿宋_GBK"/>
          <w:color w:val="auto"/>
          <w:sz w:val="32"/>
          <w:szCs w:val="32"/>
          <w:highlight w:val="none"/>
          <w:lang w:val="en-US" w:eastAsia="zh-CN"/>
        </w:rPr>
        <w:t>争取</w:t>
      </w:r>
      <w:r>
        <w:rPr>
          <w:rFonts w:ascii="Times New Roman" w:hAnsi="Times New Roman" w:eastAsia="方正仿宋_GBK"/>
          <w:color w:val="auto"/>
          <w:sz w:val="32"/>
          <w:szCs w:val="32"/>
          <w:highlight w:val="none"/>
        </w:rPr>
        <w:t>相应的优惠扶持政策，引导</w:t>
      </w:r>
      <w:r>
        <w:rPr>
          <w:rFonts w:ascii="Times New Roman" w:hAnsi="Times New Roman" w:eastAsia="方正仿宋_GBK"/>
          <w:color w:val="000000"/>
          <w:sz w:val="32"/>
          <w:szCs w:val="32"/>
          <w:highlight w:val="none"/>
        </w:rPr>
        <w:t>危险化学品企业积极开展安全风险隐患排查治理、安全生产技术改造、自动化控制系统建设、智能化信息化水平提升、先进安全科技成果运用等。</w:t>
      </w:r>
    </w:p>
    <w:p w14:paraId="37BD719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olor w:val="000000"/>
          <w:sz w:val="32"/>
          <w:szCs w:val="32"/>
          <w:highlight w:val="none"/>
        </w:rPr>
      </w:pPr>
      <w:r>
        <w:rPr>
          <w:rFonts w:ascii="Times New Roman" w:hAnsi="Times New Roman" w:eastAsia="方正楷体_GBK"/>
          <w:color w:val="000000"/>
          <w:sz w:val="32"/>
          <w:szCs w:val="32"/>
          <w:highlight w:val="none"/>
        </w:rPr>
        <w:t>（三）加强示范引领。</w:t>
      </w:r>
      <w:r>
        <w:rPr>
          <w:rFonts w:ascii="Times New Roman" w:hAnsi="Times New Roman" w:eastAsia="方正仿宋_GBK" w:cs="Times New Roman"/>
          <w:color w:val="auto"/>
          <w:sz w:val="32"/>
          <w:szCs w:val="32"/>
          <w:highlight w:val="none"/>
        </w:rPr>
        <w:t>各</w:t>
      </w:r>
      <w:r>
        <w:rPr>
          <w:rFonts w:hint="eastAsia" w:ascii="Times New Roman" w:hAnsi="Times New Roman" w:eastAsia="方正仿宋_GBK" w:cs="Times New Roman"/>
          <w:color w:val="auto"/>
          <w:sz w:val="32"/>
          <w:szCs w:val="32"/>
          <w:highlight w:val="none"/>
          <w:lang w:val="en-US" w:eastAsia="zh-CN"/>
        </w:rPr>
        <w:t>镇（区、街道、园区）和县</w:t>
      </w:r>
      <w:r>
        <w:rPr>
          <w:rFonts w:ascii="Times New Roman" w:hAnsi="Times New Roman" w:eastAsia="方正仿宋_GBK"/>
          <w:color w:val="000000"/>
          <w:sz w:val="32"/>
          <w:szCs w:val="32"/>
          <w:highlight w:val="none"/>
        </w:rPr>
        <w:t>各有关部门要充分利用电视、广播、报纸、互联网等媒体，根据各阶段重点任务的进展，及时宣传推广好经验好做法，推动治理工作深入扎实有效开展。同时鼓励和引导广大群众特别是企业职工举报重大隐患和违法违规行为，积极引导社会公众参与支持，形成社会共治的良好局面。</w:t>
      </w:r>
    </w:p>
    <w:p w14:paraId="056C05D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Times New Roman" w:hAnsi="Times New Roman" w:eastAsia="方正仿宋_GBK"/>
          <w:color w:val="000000"/>
          <w:sz w:val="32"/>
          <w:szCs w:val="32"/>
          <w:highlight w:val="none"/>
        </w:rPr>
      </w:pPr>
      <w:r>
        <w:rPr>
          <w:rFonts w:ascii="Times New Roman" w:hAnsi="Times New Roman" w:eastAsia="方正楷体_GBK"/>
          <w:color w:val="000000"/>
          <w:sz w:val="32"/>
          <w:szCs w:val="32"/>
          <w:highlight w:val="none"/>
        </w:rPr>
        <w:t>（四）抓好督导服务。</w:t>
      </w:r>
      <w:r>
        <w:rPr>
          <w:rFonts w:ascii="Times New Roman" w:hAnsi="Times New Roman" w:eastAsia="方正仿宋_GBK" w:cs="Times New Roman"/>
          <w:color w:val="auto"/>
          <w:sz w:val="32"/>
          <w:szCs w:val="32"/>
          <w:highlight w:val="none"/>
        </w:rPr>
        <w:t>各</w:t>
      </w:r>
      <w:r>
        <w:rPr>
          <w:rFonts w:hint="eastAsia" w:ascii="Times New Roman" w:hAnsi="Times New Roman" w:eastAsia="方正仿宋_GBK" w:cs="Times New Roman"/>
          <w:color w:val="auto"/>
          <w:sz w:val="32"/>
          <w:szCs w:val="32"/>
          <w:highlight w:val="none"/>
          <w:lang w:val="en-US" w:eastAsia="zh-CN"/>
        </w:rPr>
        <w:t>镇（区、街道、园区）</w:t>
      </w:r>
      <w:r>
        <w:rPr>
          <w:rFonts w:ascii="Times New Roman" w:hAnsi="Times New Roman" w:eastAsia="方正仿宋_GBK"/>
          <w:strike w:val="0"/>
          <w:dstrike w:val="0"/>
          <w:color w:val="000000"/>
          <w:sz w:val="32"/>
          <w:szCs w:val="32"/>
          <w:highlight w:val="none"/>
        </w:rPr>
        <w:t>、</w:t>
      </w:r>
      <w:r>
        <w:rPr>
          <w:rFonts w:hint="eastAsia" w:ascii="Times New Roman" w:hAnsi="Times New Roman" w:eastAsia="方正仿宋_GBK"/>
          <w:strike w:val="0"/>
          <w:dstrike w:val="0"/>
          <w:color w:val="000000"/>
          <w:sz w:val="32"/>
          <w:szCs w:val="32"/>
          <w:highlight w:val="none"/>
          <w:lang w:val="en-US" w:eastAsia="zh-CN"/>
        </w:rPr>
        <w:t>县</w:t>
      </w:r>
      <w:r>
        <w:rPr>
          <w:rFonts w:ascii="Times New Roman" w:hAnsi="Times New Roman" w:eastAsia="方正仿宋_GBK"/>
          <w:color w:val="000000"/>
          <w:sz w:val="32"/>
          <w:szCs w:val="32"/>
          <w:highlight w:val="none"/>
        </w:rPr>
        <w:t>各有关部门要根据化工和危险化学品安全全链条治理工作计划和进度安排，适时组织进行督促、指导、检查，确保按计划完成各项重点任务。要充分发挥专家的作用，组织专家深入基层一线，帮助相关中小企业解决化工过程安全管理、危险化工工艺自动化改造、重大危险源监控等重点任务推进过程中的难题，有效防范化解危险化学品重大风险。</w:t>
      </w:r>
    </w:p>
    <w:p w14:paraId="7AB733BA">
      <w:pPr>
        <w:rPr>
          <w:rFonts w:hint="eastAsia" w:ascii="Times New Roman" w:hAnsi="Times New Roman" w:eastAsia="方正小标宋_GBK" w:cs="方正小标宋_GBK"/>
          <w:b w:val="0"/>
          <w:bCs w:val="0"/>
          <w:color w:val="auto"/>
          <w:spacing w:val="0"/>
          <w:w w:val="100"/>
          <w:sz w:val="44"/>
          <w:szCs w:val="44"/>
          <w:lang w:val="en-US" w:eastAsia="zh-CN"/>
        </w:rPr>
      </w:pPr>
      <w:r>
        <w:rPr>
          <w:rFonts w:hint="eastAsia" w:ascii="Times New Roman" w:hAnsi="Times New Roman" w:eastAsia="方正仿宋_GBK" w:cs="方正仿宋_GBK"/>
          <w:sz w:val="32"/>
          <w:szCs w:val="32"/>
        </w:rPr>
        <w:br w:type="page"/>
      </w:r>
    </w:p>
    <w:p w14:paraId="756958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_GBK"/>
          <w:b w:val="0"/>
          <w:bCs w:val="0"/>
          <w:color w:val="auto"/>
          <w:spacing w:val="0"/>
          <w:w w:val="100"/>
          <w:sz w:val="44"/>
          <w:szCs w:val="44"/>
          <w:lang w:val="en-US" w:eastAsia="zh-CN"/>
        </w:rPr>
      </w:pPr>
      <w:r>
        <w:rPr>
          <w:rFonts w:hint="eastAsia" w:ascii="Times New Roman" w:hAnsi="Times New Roman" w:eastAsia="方正小标宋_GBK" w:cs="方正小标宋_GBK"/>
          <w:b w:val="0"/>
          <w:bCs w:val="0"/>
          <w:color w:val="auto"/>
          <w:spacing w:val="0"/>
          <w:w w:val="100"/>
          <w:sz w:val="44"/>
          <w:szCs w:val="44"/>
          <w:lang w:val="en-US" w:eastAsia="zh-CN"/>
        </w:rPr>
        <w:t>滨海县高层建筑消防隐患“一件事”</w:t>
      </w:r>
    </w:p>
    <w:p w14:paraId="74CBE4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方正小标宋_GBK"/>
          <w:b w:val="0"/>
          <w:bCs w:val="0"/>
          <w:color w:val="auto"/>
          <w:spacing w:val="0"/>
          <w:w w:val="100"/>
          <w:sz w:val="44"/>
          <w:szCs w:val="44"/>
          <w:lang w:val="en-US" w:eastAsia="zh-CN"/>
        </w:rPr>
      </w:pPr>
      <w:r>
        <w:rPr>
          <w:rFonts w:hint="eastAsia" w:ascii="Times New Roman" w:hAnsi="Times New Roman" w:eastAsia="方正小标宋_GBK" w:cs="方正小标宋_GBK"/>
          <w:b w:val="0"/>
          <w:bCs w:val="0"/>
          <w:color w:val="auto"/>
          <w:spacing w:val="0"/>
          <w:w w:val="100"/>
          <w:sz w:val="44"/>
          <w:szCs w:val="44"/>
          <w:lang w:val="en-US" w:eastAsia="zh-CN"/>
        </w:rPr>
        <w:t>全链条治理工作方案</w:t>
      </w:r>
    </w:p>
    <w:p w14:paraId="263C43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lang w:val="en-US" w:eastAsia="zh-CN"/>
        </w:rPr>
        <w:t>征求意见稿</w:t>
      </w:r>
      <w:r>
        <w:rPr>
          <w:rFonts w:hint="eastAsia" w:ascii="方正楷体_GBK" w:hAnsi="方正楷体_GBK" w:eastAsia="方正楷体_GBK" w:cs="方正楷体_GBK"/>
          <w:sz w:val="32"/>
          <w:szCs w:val="32"/>
          <w:lang w:eastAsia="zh-CN"/>
        </w:rPr>
        <w:t>）</w:t>
      </w:r>
    </w:p>
    <w:p w14:paraId="2D340020">
      <w:pPr>
        <w:keepNext w:val="0"/>
        <w:keepLines w:val="0"/>
        <w:pageBreakBefore w:val="0"/>
        <w:widowControl w:val="0"/>
        <w:kinsoku/>
        <w:wordWrap/>
        <w:overflowPunct w:val="0"/>
        <w:topLinePunct w:val="0"/>
        <w:autoSpaceDE/>
        <w:autoSpaceDN/>
        <w:bidi w:val="0"/>
        <w:adjustRightInd/>
        <w:snapToGrid/>
        <w:spacing w:line="590" w:lineRule="exact"/>
        <w:ind w:left="0" w:leftChars="0" w:right="0" w:rightChars="0" w:firstLine="0" w:firstLineChars="0"/>
        <w:jc w:val="center"/>
        <w:textAlignment w:val="auto"/>
        <w:rPr>
          <w:rFonts w:hint="default" w:ascii="Times New Roman" w:hAnsi="Times New Roman" w:eastAsia="方正仿宋_GBK" w:cs="Times New Roman"/>
          <w:spacing w:val="0"/>
          <w:w w:val="100"/>
          <w:sz w:val="32"/>
          <w:szCs w:val="32"/>
          <w:lang w:val="en-US" w:eastAsia="zh-CN"/>
        </w:rPr>
      </w:pPr>
    </w:p>
    <w:p w14:paraId="24D0EA86">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仿宋_GBK" w:cs="Times New Roman"/>
          <w:spacing w:val="0"/>
          <w:w w:val="100"/>
          <w:sz w:val="32"/>
          <w:szCs w:val="32"/>
          <w:lang w:val="en-US" w:eastAsia="zh-CN"/>
        </w:rPr>
        <w:t>为深入贯彻习近平总书记关于安全生产重要指示精神和省委省政府、市委市政府关于安全生产工作的总体要求，深刻吸取近期各地火灾事故教训，按照省、市印发的《高层建筑消防隐患</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一件事</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全链条治理实施方案》要求，结合滨海实际制定本方案。</w:t>
      </w:r>
    </w:p>
    <w:p w14:paraId="3E2A5941">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黑体_GBK" w:cs="方正黑体_GBK"/>
          <w:spacing w:val="0"/>
          <w:w w:val="100"/>
          <w:sz w:val="32"/>
          <w:szCs w:val="32"/>
          <w:lang w:val="en-US" w:eastAsia="zh-CN"/>
        </w:rPr>
      </w:pPr>
      <w:r>
        <w:rPr>
          <w:rFonts w:hint="eastAsia" w:ascii="Times New Roman" w:hAnsi="Times New Roman" w:eastAsia="方正黑体_GBK" w:cs="方正黑体_GBK"/>
          <w:spacing w:val="0"/>
          <w:w w:val="100"/>
          <w:kern w:val="2"/>
          <w:sz w:val="32"/>
          <w:szCs w:val="32"/>
          <w:lang w:val="en-US" w:eastAsia="zh-CN" w:bidi="ar-SA"/>
        </w:rPr>
        <w:t>一、</w:t>
      </w:r>
      <w:r>
        <w:rPr>
          <w:rFonts w:hint="eastAsia" w:ascii="Times New Roman" w:hAnsi="Times New Roman" w:eastAsia="方正黑体_GBK" w:cs="方正黑体_GBK"/>
          <w:spacing w:val="0"/>
          <w:w w:val="100"/>
          <w:sz w:val="32"/>
          <w:szCs w:val="32"/>
          <w:lang w:val="en-US" w:eastAsia="zh-CN"/>
        </w:rPr>
        <w:t>指导思想</w:t>
      </w:r>
    </w:p>
    <w:p w14:paraId="615502EE">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仿宋_GBK" w:cs="Times New Roman"/>
          <w:spacing w:val="0"/>
          <w:w w:val="100"/>
          <w:sz w:val="32"/>
          <w:szCs w:val="32"/>
          <w:lang w:val="en-US" w:eastAsia="zh-CN"/>
        </w:rPr>
        <w:t>以习近平新时代中国特色社会主义思想为指导，坚持人民至上、生命至上，坚持依法治理、标本兼治，坚持各负其责、齐抓共管，按照</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三管三必须</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的原则，压实政府领导责任、部门监管责任和高层建筑业主、使用人主体责任，围绕高层建筑（</w:t>
      </w:r>
      <w:r>
        <w:rPr>
          <w:rFonts w:hint="eastAsia" w:ascii="Times New Roman" w:hAnsi="Times New Roman" w:eastAsia="方正楷体_GBK" w:cs="方正楷体_GBK"/>
          <w:spacing w:val="0"/>
          <w:w w:val="100"/>
          <w:sz w:val="32"/>
          <w:szCs w:val="32"/>
          <w:lang w:val="en-US" w:eastAsia="zh-CN"/>
        </w:rPr>
        <w:t>建筑高度大于27米的住宅建筑，建筑高度大于24米的非单层厂房、仓库和其他民用建筑</w:t>
      </w:r>
      <w:r>
        <w:rPr>
          <w:rFonts w:hint="default" w:ascii="Times New Roman" w:hAnsi="Times New Roman" w:eastAsia="方正仿宋_GBK" w:cs="Times New Roman"/>
          <w:spacing w:val="0"/>
          <w:w w:val="100"/>
          <w:sz w:val="32"/>
          <w:szCs w:val="32"/>
          <w:lang w:val="en-US" w:eastAsia="zh-CN"/>
        </w:rPr>
        <w:t>）消防隐患</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一件事</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，在消除存量高层建筑消防安全隐患的同时，加强增量高层建筑源头管控，建立健全长效机制，持续完善管理体系，不断提升火灾风险防范能力，确保人民群众生命财产安全。</w:t>
      </w:r>
    </w:p>
    <w:p w14:paraId="31C78BCE">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黑体_GBK" w:cs="方正黑体_GBK"/>
          <w:spacing w:val="0"/>
          <w:w w:val="100"/>
          <w:sz w:val="32"/>
          <w:szCs w:val="32"/>
          <w:lang w:val="en-US" w:eastAsia="zh-CN"/>
        </w:rPr>
      </w:pPr>
      <w:r>
        <w:rPr>
          <w:rFonts w:hint="eastAsia" w:ascii="Times New Roman" w:hAnsi="Times New Roman" w:eastAsia="方正黑体_GBK" w:cs="方正黑体_GBK"/>
          <w:spacing w:val="0"/>
          <w:w w:val="100"/>
          <w:kern w:val="2"/>
          <w:sz w:val="32"/>
          <w:szCs w:val="32"/>
          <w:lang w:val="en-US" w:eastAsia="zh-CN" w:bidi="ar-SA"/>
        </w:rPr>
        <w:t>二、</w:t>
      </w:r>
      <w:r>
        <w:rPr>
          <w:rFonts w:hint="eastAsia" w:ascii="Times New Roman" w:hAnsi="Times New Roman" w:eastAsia="方正黑体_GBK" w:cs="方正黑体_GBK"/>
          <w:spacing w:val="0"/>
          <w:w w:val="100"/>
          <w:sz w:val="32"/>
          <w:szCs w:val="32"/>
          <w:lang w:val="en-US" w:eastAsia="zh-CN"/>
        </w:rPr>
        <w:t>工作目标</w:t>
      </w:r>
    </w:p>
    <w:p w14:paraId="5B3CD410">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仿宋_GBK" w:cs="Times New Roman"/>
          <w:spacing w:val="0"/>
          <w:w w:val="100"/>
          <w:sz w:val="32"/>
          <w:szCs w:val="32"/>
          <w:lang w:val="en-US" w:eastAsia="zh-CN"/>
        </w:rPr>
        <w:t>按照</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政府统一领导、部门依法监管、单位全面负责、公民积极参与</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的原则，在巩固高层建筑消防安全三年整治行动和高层建筑重大火灾风险专项整治成效的基础上，从立项、规划、设计、建造、竣工验收、使用管理、隐患治理等环节入手，针对新建高层建筑，围绕建设工程安全五方面，建立规划建设管控和消防安全管理的全链条监管机制；针对既有高层建筑，深入推动</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生命至上，隐患必除</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和打通</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生命通道</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行动，同步开展消防设计审查验收突出问题专项治理，持续推进消防隐患排查整治，重大隐患动态清零，一般隐患即查即改，做到排查好、整治好、维护好，全面提升消防本质安全水平，有效遏制火灾事故多发势头。</w:t>
      </w:r>
    </w:p>
    <w:p w14:paraId="430ED548">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黑体_GBK" w:cs="方正黑体_GBK"/>
          <w:spacing w:val="0"/>
          <w:w w:val="100"/>
          <w:sz w:val="32"/>
          <w:szCs w:val="32"/>
          <w:lang w:val="en-US" w:eastAsia="zh-CN"/>
        </w:rPr>
      </w:pPr>
      <w:r>
        <w:rPr>
          <w:rFonts w:hint="eastAsia" w:ascii="Times New Roman" w:hAnsi="Times New Roman" w:eastAsia="方正黑体_GBK" w:cs="方正黑体_GBK"/>
          <w:spacing w:val="0"/>
          <w:w w:val="100"/>
          <w:kern w:val="2"/>
          <w:sz w:val="32"/>
          <w:szCs w:val="32"/>
          <w:lang w:val="en-US" w:eastAsia="zh-CN" w:bidi="ar-SA"/>
        </w:rPr>
        <w:t>三、</w:t>
      </w:r>
      <w:r>
        <w:rPr>
          <w:rFonts w:hint="eastAsia" w:ascii="Times New Roman" w:hAnsi="Times New Roman" w:eastAsia="方正黑体_GBK" w:cs="方正黑体_GBK"/>
          <w:spacing w:val="0"/>
          <w:w w:val="100"/>
          <w:sz w:val="32"/>
          <w:szCs w:val="32"/>
          <w:lang w:val="en-US" w:eastAsia="zh-CN"/>
        </w:rPr>
        <w:t>主要任务</w:t>
      </w:r>
    </w:p>
    <w:p w14:paraId="3609AA8A">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楷体_GBK" w:cs="Times New Roman"/>
          <w:b w:val="0"/>
          <w:bCs w:val="0"/>
          <w:spacing w:val="0"/>
          <w:w w:val="100"/>
          <w:sz w:val="32"/>
          <w:szCs w:val="32"/>
          <w:lang w:val="en-US" w:eastAsia="zh-CN"/>
        </w:rPr>
      </w:pPr>
      <w:r>
        <w:rPr>
          <w:rFonts w:hint="eastAsia" w:ascii="Times New Roman" w:hAnsi="Times New Roman" w:eastAsia="方正楷体_GBK" w:cs="Times New Roman"/>
          <w:b w:val="0"/>
          <w:bCs w:val="0"/>
          <w:spacing w:val="0"/>
          <w:w w:val="100"/>
          <w:kern w:val="2"/>
          <w:sz w:val="32"/>
          <w:szCs w:val="32"/>
          <w:lang w:val="en-US" w:eastAsia="zh-CN" w:bidi="ar-SA"/>
        </w:rPr>
        <w:t>（一）</w:t>
      </w:r>
      <w:r>
        <w:rPr>
          <w:rFonts w:hint="default" w:ascii="Times New Roman" w:hAnsi="Times New Roman" w:eastAsia="方正楷体_GBK" w:cs="Times New Roman"/>
          <w:b w:val="0"/>
          <w:bCs w:val="0"/>
          <w:spacing w:val="0"/>
          <w:w w:val="100"/>
          <w:sz w:val="32"/>
          <w:szCs w:val="32"/>
          <w:lang w:val="en-US" w:eastAsia="zh-CN"/>
        </w:rPr>
        <w:t>在立项规划环节加强高层建筑源头管控</w:t>
      </w:r>
    </w:p>
    <w:p w14:paraId="161FD3F1">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cs="Times New Roman"/>
          <w:w w:val="100"/>
        </w:rPr>
      </w:pPr>
      <w:r>
        <w:rPr>
          <w:rFonts w:hint="eastAsia" w:ascii="Times New Roman" w:hAnsi="Times New Roman" w:eastAsia="方正仿宋_GBK" w:cs="Times New Roman"/>
          <w:spacing w:val="0"/>
          <w:w w:val="100"/>
          <w:sz w:val="32"/>
          <w:szCs w:val="32"/>
          <w:lang w:val="en-US" w:eastAsia="zh-CN"/>
        </w:rPr>
        <w:t xml:space="preserve">1. </w:t>
      </w:r>
      <w:r>
        <w:rPr>
          <w:rFonts w:hint="default" w:ascii="Times New Roman" w:hAnsi="Times New Roman" w:eastAsia="方正仿宋_GBK" w:cs="Times New Roman"/>
          <w:spacing w:val="0"/>
          <w:w w:val="100"/>
          <w:sz w:val="32"/>
          <w:szCs w:val="32"/>
          <w:lang w:val="en-US" w:eastAsia="zh-CN"/>
        </w:rPr>
        <w:t>严格控制新建超高层建筑。贯彻落实国家关于加强超高层建筑规划建设管理的有关要求，结合地区经济社会发展、常住人口规模、消防救援能力等因素，建立新建超高层建筑分级分类管控机制。确需新建超高层建筑的，要充分评估论证，按照《重大行政决策程序暂行条例》（国务院令第713号）和《江苏省重大行政决策程序实施办法》（省政府令第134号）《盐城市重大行政决策程序规定》（市政府令第11号）履行决策程序。其中，新建150米以上超高层建筑要按程序报住房和城乡建设部备案（复核）。严格落实政府投资有关规定，一般不得批准使用公共资金投资建设超高层建筑。（</w:t>
      </w:r>
      <w:r>
        <w:rPr>
          <w:rFonts w:hint="eastAsia" w:ascii="Times New Roman" w:hAnsi="Times New Roman" w:eastAsia="方正仿宋_GBK" w:cs="Times New Roman"/>
          <w:spacing w:val="0"/>
          <w:w w:val="100"/>
          <w:sz w:val="32"/>
          <w:szCs w:val="32"/>
          <w:lang w:val="en-US" w:eastAsia="zh-CN"/>
        </w:rPr>
        <w:t>县数据局、县自然资源和规划局、县住房和城乡建设局、县消防救援局</w:t>
      </w:r>
      <w:r>
        <w:rPr>
          <w:rFonts w:hint="default" w:ascii="Times New Roman" w:hAnsi="Times New Roman" w:eastAsia="方正仿宋_GBK" w:cs="Times New Roman"/>
          <w:spacing w:val="0"/>
          <w:w w:val="100"/>
          <w:sz w:val="32"/>
          <w:szCs w:val="32"/>
          <w:lang w:val="en-US" w:eastAsia="zh-CN"/>
        </w:rPr>
        <w:t>按职责分工负责）</w:t>
      </w:r>
    </w:p>
    <w:p w14:paraId="5BB458B3">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cs="Times New Roman"/>
          <w:w w:val="100"/>
        </w:rPr>
      </w:pPr>
      <w:r>
        <w:rPr>
          <w:rFonts w:hint="eastAsia" w:ascii="Times New Roman" w:hAnsi="Times New Roman" w:eastAsia="方正仿宋_GBK" w:cs="Times New Roman"/>
          <w:spacing w:val="0"/>
          <w:w w:val="100"/>
          <w:sz w:val="32"/>
          <w:szCs w:val="32"/>
          <w:lang w:val="en-US" w:eastAsia="zh-CN"/>
        </w:rPr>
        <w:t xml:space="preserve">2. </w:t>
      </w:r>
      <w:r>
        <w:rPr>
          <w:rFonts w:hint="default" w:ascii="Times New Roman" w:hAnsi="Times New Roman" w:eastAsia="方正仿宋_GBK" w:cs="Times New Roman"/>
          <w:spacing w:val="0"/>
          <w:w w:val="100"/>
          <w:sz w:val="32"/>
          <w:szCs w:val="32"/>
          <w:lang w:val="en-US" w:eastAsia="zh-CN"/>
        </w:rPr>
        <w:t>优化高层建筑规划布局。充分考虑经济社会发展、常住人口规模、城市景观风貌、历史文化保护、消防安全布局等因素，结合县国土空间总体规划确定的开发强度分区，在详细规划中合理布局高层建筑，明确具体地块建筑高度上限等规划管控指标，并依据详细规划出具规划条件，规范开展用地预审与选址、用地规划许可等工作。（</w:t>
      </w:r>
      <w:r>
        <w:rPr>
          <w:rFonts w:hint="eastAsia" w:ascii="Times New Roman" w:hAnsi="Times New Roman" w:eastAsia="方正仿宋_GBK" w:cs="Times New Roman"/>
          <w:spacing w:val="0"/>
          <w:w w:val="100"/>
          <w:sz w:val="32"/>
          <w:szCs w:val="32"/>
          <w:lang w:val="en-US" w:eastAsia="zh-CN"/>
        </w:rPr>
        <w:t>县自然资源和规划局牵头，县消防救援局、县住房和城乡建设局</w:t>
      </w:r>
      <w:r>
        <w:rPr>
          <w:rFonts w:hint="default" w:ascii="Times New Roman" w:hAnsi="Times New Roman" w:eastAsia="方正仿宋_GBK" w:cs="Times New Roman"/>
          <w:spacing w:val="0"/>
          <w:w w:val="100"/>
          <w:sz w:val="32"/>
          <w:szCs w:val="32"/>
          <w:lang w:val="en-US" w:eastAsia="zh-CN"/>
        </w:rPr>
        <w:t>按职责分工负责）</w:t>
      </w:r>
    </w:p>
    <w:p w14:paraId="36647675">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3. </w:t>
      </w:r>
      <w:r>
        <w:rPr>
          <w:rFonts w:hint="default" w:ascii="Times New Roman" w:hAnsi="Times New Roman" w:eastAsia="方正仿宋_GBK" w:cs="Times New Roman"/>
          <w:spacing w:val="0"/>
          <w:w w:val="100"/>
          <w:sz w:val="32"/>
          <w:szCs w:val="32"/>
          <w:lang w:val="en-US" w:eastAsia="zh-CN"/>
        </w:rPr>
        <w:t>严格建设工程规划许可管理。在规划方案设计审查、工程规划许可等环节，对于外连廊、内天井、架空层、电动自行车停放充电场所等可能影响消防安全的部位，按规定征求相关主管部门意见，加强对建设工程规划许可的有效管控。（</w:t>
      </w:r>
      <w:r>
        <w:rPr>
          <w:rFonts w:hint="eastAsia" w:ascii="Times New Roman" w:hAnsi="Times New Roman" w:eastAsia="方正仿宋_GBK" w:cs="Times New Roman"/>
          <w:spacing w:val="0"/>
          <w:w w:val="100"/>
          <w:sz w:val="32"/>
          <w:szCs w:val="32"/>
          <w:lang w:val="en-US" w:eastAsia="zh-CN"/>
        </w:rPr>
        <w:t>县自然资源和规划局牵头，县住房和城乡建设局、县消防救援局</w:t>
      </w:r>
      <w:r>
        <w:rPr>
          <w:rFonts w:hint="default" w:ascii="Times New Roman" w:hAnsi="Times New Roman" w:eastAsia="方正仿宋_GBK" w:cs="Times New Roman"/>
          <w:spacing w:val="0"/>
          <w:w w:val="100"/>
          <w:sz w:val="32"/>
          <w:szCs w:val="32"/>
          <w:lang w:val="en-US" w:eastAsia="zh-CN"/>
        </w:rPr>
        <w:t>按职责分工负责）</w:t>
      </w:r>
    </w:p>
    <w:p w14:paraId="0BC5EC3C">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楷体_GBK" w:cs="Times New Roman"/>
          <w:b w:val="0"/>
          <w:bCs w:val="0"/>
          <w:spacing w:val="0"/>
          <w:w w:val="100"/>
          <w:sz w:val="32"/>
          <w:szCs w:val="32"/>
          <w:lang w:val="en-US" w:eastAsia="zh-CN"/>
        </w:rPr>
      </w:pPr>
      <w:r>
        <w:rPr>
          <w:rFonts w:hint="eastAsia" w:ascii="Times New Roman" w:hAnsi="Times New Roman" w:eastAsia="方正楷体_GBK" w:cs="Times New Roman"/>
          <w:b w:val="0"/>
          <w:bCs w:val="0"/>
          <w:spacing w:val="0"/>
          <w:w w:val="100"/>
          <w:kern w:val="2"/>
          <w:sz w:val="32"/>
          <w:szCs w:val="32"/>
          <w:lang w:val="en-US" w:eastAsia="zh-CN" w:bidi="ar-SA"/>
        </w:rPr>
        <w:t>（二）</w:t>
      </w:r>
      <w:r>
        <w:rPr>
          <w:rFonts w:hint="default" w:ascii="Times New Roman" w:hAnsi="Times New Roman" w:eastAsia="方正楷体_GBK" w:cs="Times New Roman"/>
          <w:b w:val="0"/>
          <w:bCs w:val="0"/>
          <w:spacing w:val="0"/>
          <w:w w:val="100"/>
          <w:sz w:val="32"/>
          <w:szCs w:val="32"/>
          <w:lang w:val="en-US" w:eastAsia="zh-CN"/>
        </w:rPr>
        <w:t>在设计建造环节强化高层建筑质量把关</w:t>
      </w:r>
    </w:p>
    <w:p w14:paraId="782B6FEA">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cs="Times New Roman"/>
          <w:w w:val="100"/>
        </w:rPr>
      </w:pPr>
      <w:r>
        <w:rPr>
          <w:rFonts w:hint="eastAsia" w:ascii="Times New Roman" w:hAnsi="Times New Roman" w:eastAsia="方正仿宋_GBK" w:cs="Times New Roman"/>
          <w:spacing w:val="0"/>
          <w:w w:val="100"/>
          <w:sz w:val="32"/>
          <w:szCs w:val="32"/>
          <w:lang w:val="en-US" w:eastAsia="zh-CN"/>
        </w:rPr>
        <w:t xml:space="preserve">4. </w:t>
      </w:r>
      <w:r>
        <w:rPr>
          <w:rFonts w:hint="default" w:ascii="Times New Roman" w:hAnsi="Times New Roman" w:eastAsia="方正仿宋_GBK" w:cs="Times New Roman"/>
          <w:spacing w:val="0"/>
          <w:w w:val="100"/>
          <w:sz w:val="32"/>
          <w:szCs w:val="32"/>
          <w:lang w:val="en-US" w:eastAsia="zh-CN"/>
        </w:rPr>
        <w:t>严格勘察设计审查。加强对勘察设计单位质量行为的监督检查，督促勘察设计单位严格按照项目批准文件、城乡规划、国家工程建设消防技术标准编制勘察设计文件，满足建筑实际使用需求，与本县消防救援能力相匹配。加强对施工图审查和消防设计审查中有关消防安全性内容的监督管理。结合火灾事故教训及时编制地方标准。（</w:t>
      </w:r>
      <w:r>
        <w:rPr>
          <w:rFonts w:hint="eastAsia" w:ascii="Times New Roman" w:hAnsi="Times New Roman" w:eastAsia="方正仿宋_GBK" w:cs="Times New Roman"/>
          <w:spacing w:val="0"/>
          <w:w w:val="100"/>
          <w:sz w:val="32"/>
          <w:szCs w:val="32"/>
          <w:lang w:val="en-US" w:eastAsia="zh-CN"/>
        </w:rPr>
        <w:t>县住房和城乡建设局牵头，县消防救援局、县交通运输局、县水利局</w:t>
      </w:r>
      <w:r>
        <w:rPr>
          <w:rFonts w:hint="default" w:ascii="Times New Roman" w:hAnsi="Times New Roman" w:eastAsia="方正仿宋_GBK" w:cs="Times New Roman"/>
          <w:spacing w:val="0"/>
          <w:w w:val="100"/>
          <w:sz w:val="32"/>
          <w:szCs w:val="32"/>
          <w:lang w:val="en-US" w:eastAsia="zh-CN"/>
        </w:rPr>
        <w:t>等行业主管部门按职责分工负责）</w:t>
      </w:r>
    </w:p>
    <w:p w14:paraId="1155F084">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5. </w:t>
      </w:r>
      <w:r>
        <w:rPr>
          <w:rFonts w:hint="default" w:ascii="Times New Roman" w:hAnsi="Times New Roman" w:eastAsia="方正仿宋_GBK" w:cs="Times New Roman"/>
          <w:spacing w:val="0"/>
          <w:w w:val="100"/>
          <w:sz w:val="32"/>
          <w:szCs w:val="32"/>
          <w:lang w:val="en-US" w:eastAsia="zh-CN"/>
        </w:rPr>
        <w:t>加强施工质量安全管理。督促参建各方加强对高层建筑外保温、外墙装饰、建筑构配件等材料燃烧性能和消防设施设备的进场检验和质量管理，重点监管防火墙、窗槛墙、玻璃幕墙空腔等关键部位和管道井防火封堵、排烟管道防火保护等隐蔽工程的施工质量。督促落实施工现场消防安全管理措施，严格动火作业</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四个一律</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管理，保持消防设施设备完好有效。对违反消防安全管理规定的行为，由相关部门依法处罚。（</w:t>
      </w:r>
      <w:r>
        <w:rPr>
          <w:rFonts w:hint="eastAsia" w:ascii="Times New Roman" w:hAnsi="Times New Roman" w:eastAsia="方正仿宋_GBK" w:cs="Times New Roman"/>
          <w:spacing w:val="0"/>
          <w:w w:val="100"/>
          <w:sz w:val="32"/>
          <w:szCs w:val="32"/>
          <w:lang w:val="en-US" w:eastAsia="zh-CN"/>
        </w:rPr>
        <w:t>县住房和城乡建设局、县交通运输局、县水利局</w:t>
      </w:r>
      <w:r>
        <w:rPr>
          <w:rFonts w:hint="default" w:ascii="Times New Roman" w:hAnsi="Times New Roman" w:eastAsia="方正仿宋_GBK" w:cs="Times New Roman"/>
          <w:spacing w:val="0"/>
          <w:w w:val="100"/>
          <w:sz w:val="32"/>
          <w:szCs w:val="32"/>
          <w:lang w:val="en-US" w:eastAsia="zh-CN"/>
        </w:rPr>
        <w:t>等行业主管部门以及县消防救援局按职责分工负责）</w:t>
      </w:r>
    </w:p>
    <w:p w14:paraId="54949788">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楷体_GBK" w:cs="Times New Roman"/>
          <w:b w:val="0"/>
          <w:bCs w:val="0"/>
          <w:spacing w:val="0"/>
          <w:w w:val="100"/>
          <w:sz w:val="32"/>
          <w:szCs w:val="32"/>
          <w:lang w:val="en-US" w:eastAsia="zh-CN"/>
        </w:rPr>
      </w:pPr>
      <w:r>
        <w:rPr>
          <w:rFonts w:hint="eastAsia" w:ascii="Times New Roman" w:hAnsi="Times New Roman" w:eastAsia="方正楷体_GBK" w:cs="Times New Roman"/>
          <w:b w:val="0"/>
          <w:bCs w:val="0"/>
          <w:spacing w:val="0"/>
          <w:w w:val="100"/>
          <w:kern w:val="2"/>
          <w:sz w:val="32"/>
          <w:szCs w:val="32"/>
          <w:lang w:val="en-US" w:eastAsia="zh-CN" w:bidi="ar-SA"/>
        </w:rPr>
        <w:t>（三）</w:t>
      </w:r>
      <w:r>
        <w:rPr>
          <w:rFonts w:hint="default" w:ascii="Times New Roman" w:hAnsi="Times New Roman" w:eastAsia="方正楷体_GBK" w:cs="Times New Roman"/>
          <w:b w:val="0"/>
          <w:bCs w:val="0"/>
          <w:spacing w:val="0"/>
          <w:w w:val="100"/>
          <w:sz w:val="32"/>
          <w:szCs w:val="32"/>
          <w:lang w:val="en-US" w:eastAsia="zh-CN"/>
        </w:rPr>
        <w:t>在竣工验收环节守牢高层建筑安全底线</w:t>
      </w:r>
    </w:p>
    <w:p w14:paraId="0E05F496">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6. </w:t>
      </w:r>
      <w:r>
        <w:rPr>
          <w:rFonts w:hint="default" w:ascii="Times New Roman" w:hAnsi="Times New Roman" w:eastAsia="方正仿宋_GBK" w:cs="Times New Roman"/>
          <w:spacing w:val="0"/>
          <w:w w:val="100"/>
          <w:sz w:val="32"/>
          <w:szCs w:val="32"/>
          <w:lang w:val="en-US" w:eastAsia="zh-CN"/>
        </w:rPr>
        <w:t>加强规划核实。自然资源主管部门应当根据建设单位或者个人的申请，就建设工程是否符合规划条件和规划许可内容进行规划核实。（</w:t>
      </w:r>
      <w:r>
        <w:rPr>
          <w:rFonts w:hint="eastAsia" w:ascii="Times New Roman" w:hAnsi="Times New Roman" w:eastAsia="方正仿宋_GBK" w:cs="Times New Roman"/>
          <w:spacing w:val="0"/>
          <w:w w:val="100"/>
          <w:sz w:val="32"/>
          <w:szCs w:val="32"/>
          <w:lang w:val="en-US" w:eastAsia="zh-CN"/>
        </w:rPr>
        <w:t>县自然资源和规划局</w:t>
      </w:r>
      <w:r>
        <w:rPr>
          <w:rFonts w:hint="default" w:ascii="Times New Roman" w:hAnsi="Times New Roman" w:eastAsia="方正仿宋_GBK" w:cs="Times New Roman"/>
          <w:spacing w:val="0"/>
          <w:w w:val="100"/>
          <w:sz w:val="32"/>
          <w:szCs w:val="32"/>
          <w:lang w:val="en-US" w:eastAsia="zh-CN"/>
        </w:rPr>
        <w:t>负责）</w:t>
      </w:r>
    </w:p>
    <w:p w14:paraId="346C6A00">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7. </w:t>
      </w:r>
      <w:r>
        <w:rPr>
          <w:rFonts w:hint="default" w:ascii="Times New Roman" w:hAnsi="Times New Roman" w:eastAsia="方正仿宋_GBK" w:cs="Times New Roman"/>
          <w:spacing w:val="0"/>
          <w:w w:val="100"/>
          <w:sz w:val="32"/>
          <w:szCs w:val="32"/>
          <w:lang w:val="en-US" w:eastAsia="zh-CN"/>
        </w:rPr>
        <w:t>严格竣工验收管理。督促参建各方落实主体责任，规范开展竣工验收和消防查验，确保工程质量符合有关法律法规和工程建设强制性标准，符合施工图设计文件及施工合同要求。加强对竣工验收组织形式、验收程序、执行标准的监督。（</w:t>
      </w:r>
      <w:r>
        <w:rPr>
          <w:rFonts w:hint="eastAsia" w:ascii="Times New Roman" w:hAnsi="Times New Roman" w:eastAsia="方正仿宋_GBK" w:cs="Times New Roman"/>
          <w:spacing w:val="0"/>
          <w:w w:val="100"/>
          <w:sz w:val="32"/>
          <w:szCs w:val="32"/>
          <w:lang w:val="en-US" w:eastAsia="zh-CN"/>
        </w:rPr>
        <w:t>县住房和城乡建设局、县交通运输局、县水利局</w:t>
      </w:r>
      <w:r>
        <w:rPr>
          <w:rFonts w:hint="default" w:ascii="Times New Roman" w:hAnsi="Times New Roman" w:eastAsia="方正仿宋_GBK" w:cs="Times New Roman"/>
          <w:spacing w:val="0"/>
          <w:w w:val="100"/>
          <w:sz w:val="32"/>
          <w:szCs w:val="32"/>
          <w:lang w:val="en-US" w:eastAsia="zh-CN"/>
        </w:rPr>
        <w:t>等行业主管部门按职责分工负责）</w:t>
      </w:r>
    </w:p>
    <w:p w14:paraId="276642A6">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8. </w:t>
      </w:r>
      <w:r>
        <w:rPr>
          <w:rFonts w:hint="default" w:ascii="Times New Roman" w:hAnsi="Times New Roman" w:eastAsia="方正仿宋_GBK" w:cs="Times New Roman"/>
          <w:spacing w:val="0"/>
          <w:w w:val="100"/>
          <w:sz w:val="32"/>
          <w:szCs w:val="32"/>
          <w:lang w:val="en-US" w:eastAsia="zh-CN"/>
        </w:rPr>
        <w:t>规范消防验收。依法开展现场评定，重点检查防火间距、防火分隔、安全出口、疏散通道、管道井封堵等内容，加强消防设施功能的抽样测试和联调联试。对开展消防设计加强性措施经省相关部门组织的专家论证的超高层建筑，在验收时还应当核查专家论证意见落实情况。县消防救援局根据需要结合高层建筑</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六熟悉</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协助对消防车道、消防车登高操作场地、消防供（取）水试验等方面进行测试。（</w:t>
      </w:r>
      <w:r>
        <w:rPr>
          <w:rFonts w:hint="eastAsia" w:ascii="Times New Roman" w:hAnsi="Times New Roman" w:eastAsia="方正仿宋_GBK" w:cs="Times New Roman"/>
          <w:spacing w:val="0"/>
          <w:w w:val="100"/>
          <w:sz w:val="32"/>
          <w:szCs w:val="32"/>
          <w:lang w:val="en-US" w:eastAsia="zh-CN"/>
        </w:rPr>
        <w:t>县住房和城乡建设局</w:t>
      </w:r>
      <w:r>
        <w:rPr>
          <w:rFonts w:hint="default" w:ascii="Times New Roman" w:hAnsi="Times New Roman" w:eastAsia="方正仿宋_GBK" w:cs="Times New Roman"/>
          <w:spacing w:val="0"/>
          <w:w w:val="100"/>
          <w:sz w:val="32"/>
          <w:szCs w:val="32"/>
          <w:lang w:val="en-US" w:eastAsia="zh-CN"/>
        </w:rPr>
        <w:t>牵头，</w:t>
      </w:r>
      <w:r>
        <w:rPr>
          <w:rFonts w:hint="eastAsia" w:ascii="Times New Roman" w:hAnsi="Times New Roman" w:eastAsia="方正仿宋_GBK" w:cs="Times New Roman"/>
          <w:spacing w:val="0"/>
          <w:w w:val="100"/>
          <w:sz w:val="32"/>
          <w:szCs w:val="32"/>
          <w:lang w:val="en-US" w:eastAsia="zh-CN"/>
        </w:rPr>
        <w:t>县消防救援局</w:t>
      </w:r>
      <w:r>
        <w:rPr>
          <w:rFonts w:hint="default" w:ascii="Times New Roman" w:hAnsi="Times New Roman" w:eastAsia="方正仿宋_GBK" w:cs="Times New Roman"/>
          <w:spacing w:val="0"/>
          <w:w w:val="100"/>
          <w:sz w:val="32"/>
          <w:szCs w:val="32"/>
          <w:lang w:val="en-US" w:eastAsia="zh-CN"/>
        </w:rPr>
        <w:t>按职责分工负责）</w:t>
      </w:r>
    </w:p>
    <w:p w14:paraId="7290A2F3">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楷体_GBK" w:cs="Times New Roman"/>
          <w:b w:val="0"/>
          <w:bCs w:val="0"/>
          <w:spacing w:val="0"/>
          <w:w w:val="100"/>
          <w:sz w:val="32"/>
          <w:szCs w:val="32"/>
          <w:lang w:val="en-US" w:eastAsia="zh-CN"/>
        </w:rPr>
      </w:pPr>
      <w:r>
        <w:rPr>
          <w:rFonts w:hint="eastAsia" w:ascii="Times New Roman" w:hAnsi="Times New Roman" w:eastAsia="方正楷体_GBK" w:cs="Times New Roman"/>
          <w:b w:val="0"/>
          <w:bCs w:val="0"/>
          <w:spacing w:val="0"/>
          <w:w w:val="100"/>
          <w:kern w:val="2"/>
          <w:sz w:val="32"/>
          <w:szCs w:val="32"/>
          <w:lang w:val="en-US" w:eastAsia="zh-CN" w:bidi="ar-SA"/>
        </w:rPr>
        <w:t>（四）</w:t>
      </w:r>
      <w:r>
        <w:rPr>
          <w:rFonts w:hint="default" w:ascii="Times New Roman" w:hAnsi="Times New Roman" w:eastAsia="方正楷体_GBK" w:cs="Times New Roman"/>
          <w:b w:val="0"/>
          <w:bCs w:val="0"/>
          <w:spacing w:val="0"/>
          <w:w w:val="100"/>
          <w:sz w:val="32"/>
          <w:szCs w:val="32"/>
          <w:lang w:val="en-US" w:eastAsia="zh-CN"/>
        </w:rPr>
        <w:t>在使用管理环节严格高层建筑消防安全监管</w:t>
      </w:r>
    </w:p>
    <w:p w14:paraId="131B79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9. </w:t>
      </w:r>
      <w:r>
        <w:rPr>
          <w:rFonts w:hint="default" w:ascii="Times New Roman" w:hAnsi="Times New Roman" w:eastAsia="方正仿宋_GBK" w:cs="Times New Roman"/>
          <w:spacing w:val="0"/>
          <w:w w:val="100"/>
          <w:sz w:val="32"/>
          <w:szCs w:val="32"/>
          <w:lang w:val="en-US" w:eastAsia="zh-CN"/>
        </w:rPr>
        <w:t>落实消防安全责任。</w:t>
      </w:r>
      <w:r>
        <w:rPr>
          <w:rFonts w:hint="default" w:ascii="Times New Roman" w:hAnsi="Times New Roman" w:eastAsia="方正仿宋_GBK" w:cs="Times New Roman"/>
          <w:color w:val="auto"/>
          <w:spacing w:val="0"/>
          <w:w w:val="100"/>
          <w:sz w:val="32"/>
          <w:szCs w:val="32"/>
          <w:lang w:val="en-US" w:eastAsia="zh-CN"/>
        </w:rPr>
        <w:t>各镇（区、街道、园区）应</w:t>
      </w:r>
      <w:r>
        <w:rPr>
          <w:rFonts w:hint="default" w:ascii="Times New Roman" w:hAnsi="Times New Roman" w:eastAsia="方正仿宋_GBK" w:cs="Times New Roman"/>
          <w:spacing w:val="0"/>
          <w:w w:val="100"/>
          <w:sz w:val="32"/>
          <w:szCs w:val="32"/>
          <w:lang w:val="en-US" w:eastAsia="zh-CN"/>
        </w:rPr>
        <w:t>当督促高层建筑业主、使用人履行法定消防安全责任，每年至少组织开展一次建筑消防安全评估、进行一次建筑消防设施全面检测，及时清理疏散通道、安全出口、阳台等部位，及时纠正擅自变更建筑使用功能、改变防火防烟分区、破坏建筑立面防火结构，在电缆井、管道井内堆放杂物，在高层民用建筑内违法生产、储存、经营易燃易爆危险物品等行为。要通过广播、电视、楼宇广告等开展高层建筑消防安全公益宣传，加强高层建筑火灾事故警示宣传教育，普及火灾事故防范和逃生自救等消防安全常识。</w:t>
      </w:r>
      <w:r>
        <w:rPr>
          <w:rFonts w:hint="eastAsia" w:ascii="Times New Roman" w:hAnsi="Times New Roman" w:eastAsia="方正仿宋_GBK" w:cs="方正仿宋_GBK"/>
          <w:sz w:val="32"/>
          <w:szCs w:val="32"/>
        </w:rPr>
        <w:t>〔各</w:t>
      </w:r>
      <w:r>
        <w:rPr>
          <w:rFonts w:hint="eastAsia" w:ascii="Times New Roman" w:hAnsi="Times New Roman" w:eastAsia="方正仿宋_GBK" w:cs="方正仿宋_GBK"/>
          <w:sz w:val="32"/>
          <w:szCs w:val="32"/>
          <w:lang w:val="en-US" w:eastAsia="zh-CN"/>
        </w:rPr>
        <w:t>镇（区、街道、园区）</w:t>
      </w:r>
      <w:r>
        <w:rPr>
          <w:rFonts w:hint="eastAsia" w:ascii="Times New Roman" w:hAnsi="Times New Roman" w:eastAsia="方正仿宋_GBK" w:cs="方正仿宋_GBK"/>
          <w:sz w:val="32"/>
          <w:szCs w:val="32"/>
        </w:rPr>
        <w:t>组织落实〕</w:t>
      </w:r>
    </w:p>
    <w:p w14:paraId="7EB918C5">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10. </w:t>
      </w:r>
      <w:r>
        <w:rPr>
          <w:rFonts w:hint="default" w:ascii="Times New Roman" w:hAnsi="Times New Roman" w:eastAsia="方正仿宋_GBK" w:cs="Times New Roman"/>
          <w:spacing w:val="0"/>
          <w:w w:val="100"/>
          <w:sz w:val="32"/>
          <w:szCs w:val="32"/>
          <w:lang w:val="en-US" w:eastAsia="zh-CN"/>
        </w:rPr>
        <w:t>加强物业服务管理。督促物业服务企业按照法律法规和合同约定提供消防安全防范服务，对在电缆井内堆放杂物、占用堵塞疏散通道、电动自行车违规停放充电、违章搭建等违反消防安全的行为予以劝阻，劝阻制止无效的向</w:t>
      </w:r>
      <w:r>
        <w:rPr>
          <w:rFonts w:hint="default" w:ascii="Times New Roman" w:hAnsi="Times New Roman" w:eastAsia="方正仿宋_GBK" w:cs="Times New Roman"/>
          <w:color w:val="auto"/>
          <w:spacing w:val="0"/>
          <w:w w:val="100"/>
          <w:sz w:val="32"/>
          <w:szCs w:val="32"/>
          <w:lang w:val="en-US" w:eastAsia="zh-CN"/>
        </w:rPr>
        <w:t>镇（区、街道、园区）</w:t>
      </w:r>
      <w:r>
        <w:rPr>
          <w:rFonts w:hint="default" w:ascii="Times New Roman" w:hAnsi="Times New Roman" w:eastAsia="方正仿宋_GBK" w:cs="Times New Roman"/>
          <w:spacing w:val="0"/>
          <w:w w:val="100"/>
          <w:sz w:val="32"/>
          <w:szCs w:val="32"/>
          <w:lang w:val="en-US" w:eastAsia="zh-CN"/>
        </w:rPr>
        <w:t>或消防、公安、自然资源、综合执法等相关部门报告。指导业主依照有关规定使用住宅专项维修资金对共用消防设施进行维修、更新、改造。（</w:t>
      </w:r>
      <w:r>
        <w:rPr>
          <w:rFonts w:hint="eastAsia" w:ascii="Times New Roman" w:hAnsi="Times New Roman" w:eastAsia="方正仿宋_GBK" w:cs="Times New Roman"/>
          <w:spacing w:val="0"/>
          <w:w w:val="100"/>
          <w:sz w:val="32"/>
          <w:szCs w:val="32"/>
          <w:lang w:val="en-US" w:eastAsia="zh-CN"/>
        </w:rPr>
        <w:t>县住房和城乡建设局</w:t>
      </w:r>
      <w:r>
        <w:rPr>
          <w:rFonts w:hint="default" w:ascii="Times New Roman" w:hAnsi="Times New Roman" w:eastAsia="方正仿宋_GBK" w:cs="Times New Roman"/>
          <w:spacing w:val="0"/>
          <w:w w:val="100"/>
          <w:sz w:val="32"/>
          <w:szCs w:val="32"/>
          <w:lang w:val="en-US" w:eastAsia="zh-CN"/>
        </w:rPr>
        <w:t>负责）</w:t>
      </w:r>
    </w:p>
    <w:p w14:paraId="75227611">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11. </w:t>
      </w:r>
      <w:r>
        <w:rPr>
          <w:rFonts w:hint="default" w:ascii="Times New Roman" w:hAnsi="Times New Roman" w:eastAsia="方正仿宋_GBK" w:cs="Times New Roman"/>
          <w:spacing w:val="0"/>
          <w:w w:val="100"/>
          <w:sz w:val="32"/>
          <w:szCs w:val="32"/>
          <w:lang w:val="en-US" w:eastAsia="zh-CN"/>
        </w:rPr>
        <w:t>严格改扩建和装饰装修管理。</w:t>
      </w:r>
      <w:r>
        <w:rPr>
          <w:rFonts w:hint="default" w:ascii="Times New Roman" w:hAnsi="Times New Roman" w:eastAsia="方正仿宋_GBK" w:cs="Times New Roman"/>
          <w:color w:val="auto"/>
          <w:spacing w:val="0"/>
          <w:w w:val="100"/>
          <w:sz w:val="32"/>
          <w:szCs w:val="32"/>
          <w:lang w:val="en-US" w:eastAsia="zh-CN"/>
        </w:rPr>
        <w:t>各镇（区、街道、园区）</w:t>
      </w:r>
      <w:r>
        <w:rPr>
          <w:rFonts w:hint="default" w:ascii="Times New Roman" w:hAnsi="Times New Roman" w:eastAsia="方正仿宋_GBK" w:cs="Times New Roman"/>
          <w:spacing w:val="0"/>
          <w:w w:val="100"/>
          <w:sz w:val="32"/>
          <w:szCs w:val="32"/>
          <w:lang w:val="en-US" w:eastAsia="zh-CN"/>
        </w:rPr>
        <w:t>应当健全改扩建和装饰装修活动管理制度，细化立项、规划、施工许可、竣工验收等全过程管理要求。</w:t>
      </w:r>
      <w:r>
        <w:rPr>
          <w:rFonts w:hint="default" w:ascii="Times New Roman" w:hAnsi="Times New Roman" w:eastAsia="方正仿宋_GBK" w:cs="Times New Roman"/>
          <w:color w:val="auto"/>
          <w:spacing w:val="0"/>
          <w:w w:val="100"/>
          <w:sz w:val="32"/>
          <w:szCs w:val="32"/>
          <w:lang w:val="en-US" w:eastAsia="zh-CN"/>
        </w:rPr>
        <w:t>各镇（区、街道、园区）</w:t>
      </w:r>
      <w:r>
        <w:rPr>
          <w:rFonts w:hint="default" w:ascii="Times New Roman" w:hAnsi="Times New Roman" w:eastAsia="方正仿宋_GBK" w:cs="Times New Roman"/>
          <w:spacing w:val="0"/>
          <w:w w:val="100"/>
          <w:sz w:val="32"/>
          <w:szCs w:val="32"/>
          <w:lang w:val="en-US" w:eastAsia="zh-CN"/>
        </w:rPr>
        <w:t>要建立完善高层建筑使用安全常态化、网格化巡查制度体系，充分发挥社区网格员、物业管理服务人员、综合执法人员前哨和探头作用，发现改扩建和装饰装修行为，督促、提醒各方主体依法办理工程建设相关手续，严格落实改扩建和装饰装修现场防火分隔等消防安全防范措施。（</w:t>
      </w:r>
      <w:r>
        <w:rPr>
          <w:rFonts w:hint="eastAsia" w:ascii="Times New Roman" w:hAnsi="Times New Roman" w:eastAsia="方正仿宋_GBK" w:cs="Times New Roman"/>
          <w:spacing w:val="0"/>
          <w:w w:val="100"/>
          <w:sz w:val="32"/>
          <w:szCs w:val="32"/>
          <w:lang w:val="en-US" w:eastAsia="zh-CN"/>
        </w:rPr>
        <w:t>县住房和城乡建设局、县自然资源和规划局、县消防救援局</w:t>
      </w:r>
      <w:r>
        <w:rPr>
          <w:rFonts w:hint="default" w:ascii="Times New Roman" w:hAnsi="Times New Roman" w:eastAsia="方正仿宋_GBK" w:cs="Times New Roman"/>
          <w:spacing w:val="0"/>
          <w:w w:val="100"/>
          <w:sz w:val="32"/>
          <w:szCs w:val="32"/>
          <w:lang w:val="en-US" w:eastAsia="zh-CN"/>
        </w:rPr>
        <w:t>按职责分工负责）</w:t>
      </w:r>
    </w:p>
    <w:p w14:paraId="3415AC26">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12. </w:t>
      </w:r>
      <w:r>
        <w:rPr>
          <w:rFonts w:hint="default" w:ascii="Times New Roman" w:hAnsi="Times New Roman" w:eastAsia="方正仿宋_GBK" w:cs="Times New Roman"/>
          <w:spacing w:val="0"/>
          <w:w w:val="100"/>
          <w:sz w:val="32"/>
          <w:szCs w:val="32"/>
          <w:lang w:val="en-US" w:eastAsia="zh-CN"/>
        </w:rPr>
        <w:t>加强供电供气供水管理。供电企业加强高层建筑共用配电设施安全检查。督促、指导燃气企业加强对高层建筑燃气管道敷设、管道及附属设施安全防护措施以及入户安全检查，鼓励居民住户安装燃气泄漏报警器和紧急切断装置；督促、指导供水单位加强市政管网的日常管理和维护保养，保持供水压力符合要求。消防部门加强对公共消防用水设施的监督。（</w:t>
      </w:r>
      <w:r>
        <w:rPr>
          <w:rFonts w:hint="eastAsia" w:ascii="Times New Roman" w:hAnsi="Times New Roman" w:eastAsia="方正仿宋_GBK" w:cs="Times New Roman"/>
          <w:spacing w:val="0"/>
          <w:w w:val="100"/>
          <w:sz w:val="32"/>
          <w:szCs w:val="32"/>
          <w:lang w:val="en-US" w:eastAsia="zh-CN"/>
        </w:rPr>
        <w:t>县供电公司、县住房和城乡建设局、县消防救援局</w:t>
      </w:r>
      <w:r>
        <w:rPr>
          <w:rFonts w:hint="default" w:ascii="Times New Roman" w:hAnsi="Times New Roman" w:eastAsia="方正仿宋_GBK" w:cs="Times New Roman"/>
          <w:spacing w:val="0"/>
          <w:w w:val="100"/>
          <w:sz w:val="32"/>
          <w:szCs w:val="32"/>
          <w:lang w:val="en-US" w:eastAsia="zh-CN"/>
        </w:rPr>
        <w:t>按职责分工负责）</w:t>
      </w:r>
    </w:p>
    <w:p w14:paraId="1696AC8F">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13. </w:t>
      </w:r>
      <w:r>
        <w:rPr>
          <w:rFonts w:hint="default" w:ascii="Times New Roman" w:hAnsi="Times New Roman" w:eastAsia="方正仿宋_GBK" w:cs="Times New Roman"/>
          <w:spacing w:val="0"/>
          <w:w w:val="100"/>
          <w:sz w:val="32"/>
          <w:szCs w:val="32"/>
          <w:lang w:val="en-US" w:eastAsia="zh-CN"/>
        </w:rPr>
        <w:t>强化消防监督管理。依法加强高层建筑消防监督检查，督促业主、使用人和物业服务企业落实消防安全责任，督促消防技术服务机构依据标准开展消防设施维护保养，确保消防设施完好有效；对监督检查中发现的火灾隐患，通知有关单位或者个人立即采取措施消除；加强高层建筑消防安全法律法规的宣传，督促、指导有关单位做好高层建筑消防安全宣传教育工作，提升社会公众消防安全意识。（</w:t>
      </w:r>
      <w:r>
        <w:rPr>
          <w:rFonts w:hint="eastAsia" w:ascii="Times New Roman" w:hAnsi="Times New Roman" w:eastAsia="方正仿宋_GBK" w:cs="Times New Roman"/>
          <w:spacing w:val="0"/>
          <w:w w:val="100"/>
          <w:sz w:val="32"/>
          <w:szCs w:val="32"/>
          <w:lang w:val="en-US" w:eastAsia="zh-CN"/>
        </w:rPr>
        <w:t>县消防救援局、县公安局</w:t>
      </w:r>
      <w:r>
        <w:rPr>
          <w:rFonts w:hint="default" w:ascii="Times New Roman" w:hAnsi="Times New Roman" w:eastAsia="方正仿宋_GBK" w:cs="Times New Roman"/>
          <w:spacing w:val="0"/>
          <w:w w:val="100"/>
          <w:sz w:val="32"/>
          <w:szCs w:val="32"/>
          <w:lang w:val="en-US" w:eastAsia="zh-CN"/>
        </w:rPr>
        <w:t>按职责分工负责）</w:t>
      </w:r>
    </w:p>
    <w:p w14:paraId="380093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14. </w:t>
      </w:r>
      <w:r>
        <w:rPr>
          <w:rFonts w:hint="default" w:ascii="Times New Roman" w:hAnsi="Times New Roman" w:eastAsia="方正仿宋_GBK" w:cs="Times New Roman"/>
          <w:spacing w:val="0"/>
          <w:w w:val="100"/>
          <w:sz w:val="32"/>
          <w:szCs w:val="32"/>
          <w:lang w:val="en-US" w:eastAsia="zh-CN"/>
        </w:rPr>
        <w:t>压实属地管理责任。各镇（区、街道、园区）要切实履行职责，组织开展消防安全检查和专项治理，及时督促整改火灾隐患和发现的问题。综合运用街镇综合执法、安全生产、消防监管、网格员等各方力量，对消防安全隐患治理情况开展日常检查，配合检查消防设计审查验收手续办理情况，做到早发现、早提醒、早整改。</w:t>
      </w:r>
      <w:r>
        <w:rPr>
          <w:rFonts w:hint="eastAsia" w:ascii="Times New Roman" w:hAnsi="Times New Roman" w:eastAsia="方正仿宋_GBK" w:cs="方正仿宋_GBK"/>
          <w:sz w:val="32"/>
          <w:szCs w:val="32"/>
        </w:rPr>
        <w:t>〔各</w:t>
      </w:r>
      <w:r>
        <w:rPr>
          <w:rFonts w:hint="eastAsia" w:ascii="Times New Roman" w:hAnsi="Times New Roman" w:eastAsia="方正仿宋_GBK" w:cs="方正仿宋_GBK"/>
          <w:sz w:val="32"/>
          <w:szCs w:val="32"/>
          <w:lang w:val="en-US" w:eastAsia="zh-CN"/>
        </w:rPr>
        <w:t>镇（区、街道、园区）</w:t>
      </w:r>
      <w:r>
        <w:rPr>
          <w:rFonts w:hint="eastAsia" w:ascii="Times New Roman" w:hAnsi="Times New Roman" w:eastAsia="方正仿宋_GBK" w:cs="方正仿宋_GBK"/>
          <w:sz w:val="32"/>
          <w:szCs w:val="32"/>
        </w:rPr>
        <w:t>组织落实〕</w:t>
      </w:r>
    </w:p>
    <w:p w14:paraId="56AF7A05">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15. </w:t>
      </w:r>
      <w:r>
        <w:rPr>
          <w:rFonts w:hint="default" w:ascii="Times New Roman" w:hAnsi="Times New Roman" w:eastAsia="方正仿宋_GBK" w:cs="Times New Roman"/>
          <w:spacing w:val="0"/>
          <w:w w:val="100"/>
          <w:sz w:val="32"/>
          <w:szCs w:val="32"/>
          <w:lang w:val="en-US" w:eastAsia="zh-CN"/>
        </w:rPr>
        <w:t>落实行业监管职责。教育</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体育</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工业和信息化、统战（民宗）、民政、交通运输、水利、商务、文化和旅游、卫生健康、财政（国资办）、广电、机关事务管理等职能部门要依法指导、督促本行业、本系统相关单位落实高层建筑消防安全责任，组织开展有针对性的消防安全检查。（</w:t>
      </w:r>
      <w:r>
        <w:rPr>
          <w:rFonts w:hint="eastAsia" w:ascii="Times New Roman" w:hAnsi="Times New Roman" w:eastAsia="方正仿宋_GBK" w:cs="Times New Roman"/>
          <w:spacing w:val="0"/>
          <w:w w:val="100"/>
          <w:sz w:val="32"/>
          <w:szCs w:val="32"/>
          <w:lang w:val="en-US" w:eastAsia="zh-CN"/>
        </w:rPr>
        <w:t>县教育局、县工业和信息化局、县委统战部（民宗）、县民政局、县住房和城乡建设局、县交通运输局、县水利局、县商务局、县文化广电和旅游局、县卫生和健康委员会、县财政局（国资办）、县机关事务服务中心</w:t>
      </w:r>
      <w:r>
        <w:rPr>
          <w:rFonts w:hint="default" w:ascii="Times New Roman" w:hAnsi="Times New Roman" w:eastAsia="方正仿宋_GBK" w:cs="Times New Roman"/>
          <w:spacing w:val="0"/>
          <w:w w:val="100"/>
          <w:sz w:val="32"/>
          <w:szCs w:val="32"/>
          <w:lang w:val="en-US" w:eastAsia="zh-CN"/>
        </w:rPr>
        <w:t>等部门按职责分工负责）</w:t>
      </w:r>
    </w:p>
    <w:p w14:paraId="28242C6E">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16. </w:t>
      </w:r>
      <w:r>
        <w:rPr>
          <w:rFonts w:hint="default" w:ascii="Times New Roman" w:hAnsi="Times New Roman" w:eastAsia="方正仿宋_GBK" w:cs="Times New Roman"/>
          <w:spacing w:val="0"/>
          <w:w w:val="100"/>
          <w:sz w:val="32"/>
          <w:szCs w:val="32"/>
          <w:lang w:val="en-US" w:eastAsia="zh-CN"/>
        </w:rPr>
        <w:t>全面推进执法进小区。城市管理、公安、市场监督管理、自然资源、消防等相关部门要依法对小区内擅自破坏建筑防火构造、封闭连廊、电梯违规使用、电动自行车违规停放以及内天井内私搭乱建、堆放可燃物等违法行为加大查处力度。建立违法行为投诉登记制度，并在物业管理区域内显著位置公布有关部门的具体职责范围、联系人姓名和联系方式。（</w:t>
      </w:r>
      <w:r>
        <w:rPr>
          <w:rFonts w:hint="eastAsia" w:ascii="Times New Roman" w:hAnsi="Times New Roman" w:eastAsia="方正仿宋_GBK" w:cs="Times New Roman"/>
          <w:spacing w:val="0"/>
          <w:w w:val="100"/>
          <w:sz w:val="32"/>
          <w:szCs w:val="32"/>
          <w:lang w:val="en-US" w:eastAsia="zh-CN"/>
        </w:rPr>
        <w:t>县住房和城乡建设局、县城管局、县公安局、县市场监督管理局、县自然资源和规划局、县消防救援局</w:t>
      </w:r>
      <w:r>
        <w:rPr>
          <w:rFonts w:hint="default" w:ascii="Times New Roman" w:hAnsi="Times New Roman" w:eastAsia="方正仿宋_GBK" w:cs="Times New Roman"/>
          <w:spacing w:val="0"/>
          <w:w w:val="100"/>
          <w:sz w:val="32"/>
          <w:szCs w:val="32"/>
          <w:lang w:val="en-US" w:eastAsia="zh-CN"/>
        </w:rPr>
        <w:t>等部门按职责分工负责）</w:t>
      </w:r>
    </w:p>
    <w:p w14:paraId="0AD0A2BC">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17. </w:t>
      </w:r>
      <w:r>
        <w:rPr>
          <w:rFonts w:hint="default" w:ascii="Times New Roman" w:hAnsi="Times New Roman" w:eastAsia="方正仿宋_GBK" w:cs="Times New Roman"/>
          <w:spacing w:val="0"/>
          <w:w w:val="100"/>
          <w:sz w:val="32"/>
          <w:szCs w:val="32"/>
          <w:lang w:val="en-US" w:eastAsia="zh-CN"/>
        </w:rPr>
        <w:t>提升火灾扑救能力。加强高层建筑灭火救援力量建设，配备专业骨干和高精尖车辆装备，发挥灭火救援尖刀作用。健全高层建筑火灾应急救援联动机制，规范队伍指挥调度、联动处置、综合保障等制度，开展联合会商和实战演练。（</w:t>
      </w:r>
      <w:r>
        <w:rPr>
          <w:rFonts w:hint="eastAsia" w:ascii="Times New Roman" w:hAnsi="Times New Roman" w:eastAsia="方正仿宋_GBK" w:cs="Times New Roman"/>
          <w:spacing w:val="0"/>
          <w:w w:val="100"/>
          <w:sz w:val="32"/>
          <w:szCs w:val="32"/>
          <w:lang w:val="en-US" w:eastAsia="zh-CN"/>
        </w:rPr>
        <w:t>县消防救援局</w:t>
      </w:r>
      <w:r>
        <w:rPr>
          <w:rFonts w:hint="default" w:ascii="Times New Roman" w:hAnsi="Times New Roman" w:eastAsia="方正仿宋_GBK" w:cs="Times New Roman"/>
          <w:spacing w:val="0"/>
          <w:w w:val="100"/>
          <w:sz w:val="32"/>
          <w:szCs w:val="32"/>
          <w:lang w:val="en-US" w:eastAsia="zh-CN"/>
        </w:rPr>
        <w:t>负责）</w:t>
      </w:r>
    </w:p>
    <w:p w14:paraId="5D6CAB12">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楷体_GBK" w:cs="Times New Roman"/>
          <w:b w:val="0"/>
          <w:bCs w:val="0"/>
          <w:spacing w:val="0"/>
          <w:w w:val="100"/>
          <w:sz w:val="32"/>
          <w:szCs w:val="32"/>
          <w:lang w:val="en-US" w:eastAsia="zh-CN"/>
        </w:rPr>
      </w:pPr>
      <w:r>
        <w:rPr>
          <w:rFonts w:hint="eastAsia" w:ascii="Times New Roman" w:hAnsi="Times New Roman" w:eastAsia="方正楷体_GBK" w:cs="Times New Roman"/>
          <w:b w:val="0"/>
          <w:bCs w:val="0"/>
          <w:spacing w:val="0"/>
          <w:w w:val="100"/>
          <w:kern w:val="2"/>
          <w:sz w:val="32"/>
          <w:szCs w:val="32"/>
          <w:lang w:val="en-US" w:eastAsia="zh-CN" w:bidi="ar-SA"/>
        </w:rPr>
        <w:t>（五）</w:t>
      </w:r>
      <w:r>
        <w:rPr>
          <w:rFonts w:hint="default" w:ascii="Times New Roman" w:hAnsi="Times New Roman" w:eastAsia="方正楷体_GBK" w:cs="Times New Roman"/>
          <w:b w:val="0"/>
          <w:bCs w:val="0"/>
          <w:spacing w:val="0"/>
          <w:w w:val="100"/>
          <w:sz w:val="32"/>
          <w:szCs w:val="32"/>
          <w:lang w:val="en-US" w:eastAsia="zh-CN"/>
        </w:rPr>
        <w:t>在隐患治理环节深化高层建筑消防安全排查整治</w:t>
      </w:r>
    </w:p>
    <w:p w14:paraId="5A66D437">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18. </w:t>
      </w:r>
      <w:r>
        <w:rPr>
          <w:rFonts w:hint="default" w:ascii="Times New Roman" w:hAnsi="Times New Roman" w:eastAsia="方正仿宋_GBK" w:cs="Times New Roman"/>
          <w:spacing w:val="0"/>
          <w:w w:val="100"/>
          <w:sz w:val="32"/>
          <w:szCs w:val="32"/>
          <w:lang w:val="en-US" w:eastAsia="zh-CN"/>
        </w:rPr>
        <w:t>持续开展高层建筑消防安全排查整治。深化打通消防</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生命通道</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行动，持续推进</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生命至上，隐患必除</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和消防安全治本攻坚三年行动，聚焦消防设施、电缆井、防火分隔等重点部位，以及违规锁闭、封堵、占用、堵塞安全出口、疏散通道，楼道、楼梯间堆放易燃、可燃物品，人员密集场所门窗设置影响逃生和灭火救援的障碍物等突出问题，以超高层建筑、多业态混合高层建筑为重点，全面排查各类高层建筑的消防安全隐患并督促整改到位。通过传统媒体和各类新媒体平台，以群众喜闻乐见的形式普及消防安全常识，引导广大群众主动参与排查整治。（</w:t>
      </w:r>
      <w:r>
        <w:rPr>
          <w:rFonts w:hint="eastAsia" w:ascii="Times New Roman" w:hAnsi="Times New Roman" w:eastAsia="方正仿宋_GBK" w:cs="Times New Roman"/>
          <w:spacing w:val="0"/>
          <w:w w:val="100"/>
          <w:sz w:val="32"/>
          <w:szCs w:val="32"/>
          <w:lang w:val="en-US" w:eastAsia="zh-CN"/>
        </w:rPr>
        <w:t>县消防救援局</w:t>
      </w:r>
      <w:r>
        <w:rPr>
          <w:rFonts w:hint="default" w:ascii="Times New Roman" w:hAnsi="Times New Roman" w:eastAsia="方正仿宋_GBK" w:cs="Times New Roman"/>
          <w:spacing w:val="0"/>
          <w:w w:val="100"/>
          <w:sz w:val="32"/>
          <w:szCs w:val="32"/>
          <w:lang w:val="en-US" w:eastAsia="zh-CN"/>
        </w:rPr>
        <w:t>牵头，各行业主管部门按职责分工负责）</w:t>
      </w:r>
    </w:p>
    <w:p w14:paraId="5207CE0C">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 xml:space="preserve">19. </w:t>
      </w:r>
      <w:r>
        <w:rPr>
          <w:rFonts w:hint="default" w:ascii="Times New Roman" w:hAnsi="Times New Roman" w:eastAsia="方正仿宋_GBK" w:cs="Times New Roman"/>
          <w:spacing w:val="0"/>
          <w:w w:val="100"/>
          <w:sz w:val="32"/>
          <w:szCs w:val="32"/>
          <w:lang w:val="en-US" w:eastAsia="zh-CN"/>
        </w:rPr>
        <w:t>开展消防设计审查验收突出问题专项治理。根据国务院安委会安全生产治本攻坚三年行动部署安排，围绕高层建筑消防设计审查验收历史遗留问题和高层住宅消防设计潜在风险部位开展排查治理。针对排查发现的消防设计审查验收历史遗留问题，通过开展消防安全评估、整改火灾隐患、强化消防监督管理等措施，精准施策、分类整治，妥善处置。针对排查发现的消防设计潜在风险部位，分级分类研究改进措施，结合城市更新、设备更新等稳步推进，提升高层建筑本质安全水平。（</w:t>
      </w:r>
      <w:r>
        <w:rPr>
          <w:rFonts w:hint="eastAsia" w:ascii="Times New Roman" w:hAnsi="Times New Roman" w:eastAsia="方正仿宋_GBK" w:cs="Times New Roman"/>
          <w:spacing w:val="0"/>
          <w:w w:val="100"/>
          <w:sz w:val="32"/>
          <w:szCs w:val="32"/>
          <w:lang w:val="en-US" w:eastAsia="zh-CN"/>
        </w:rPr>
        <w:t>县住房和城乡建设局</w:t>
      </w:r>
      <w:r>
        <w:rPr>
          <w:rFonts w:hint="default" w:ascii="Times New Roman" w:hAnsi="Times New Roman" w:eastAsia="方正仿宋_GBK" w:cs="Times New Roman"/>
          <w:spacing w:val="0"/>
          <w:w w:val="100"/>
          <w:sz w:val="32"/>
          <w:szCs w:val="32"/>
          <w:lang w:val="en-US" w:eastAsia="zh-CN"/>
        </w:rPr>
        <w:t>牵头，县消防救援局、各行业主管部门按职责分工负责）</w:t>
      </w:r>
    </w:p>
    <w:p w14:paraId="247E52D9">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eastAsia" w:ascii="Times New Roman" w:hAnsi="Times New Roman" w:eastAsia="方正黑体_GBK" w:cs="方正黑体_GBK"/>
          <w:spacing w:val="0"/>
          <w:w w:val="100"/>
          <w:sz w:val="32"/>
          <w:szCs w:val="32"/>
          <w:lang w:val="en-US" w:eastAsia="zh-CN"/>
        </w:rPr>
      </w:pPr>
      <w:r>
        <w:rPr>
          <w:rFonts w:hint="eastAsia" w:ascii="Times New Roman" w:hAnsi="Times New Roman" w:eastAsia="方正黑体_GBK" w:cs="方正黑体_GBK"/>
          <w:spacing w:val="0"/>
          <w:w w:val="100"/>
          <w:kern w:val="2"/>
          <w:sz w:val="32"/>
          <w:szCs w:val="32"/>
          <w:lang w:val="en-US" w:eastAsia="zh-CN" w:bidi="ar-SA"/>
        </w:rPr>
        <w:t>四、</w:t>
      </w:r>
      <w:r>
        <w:rPr>
          <w:rFonts w:hint="eastAsia" w:ascii="Times New Roman" w:hAnsi="Times New Roman" w:eastAsia="方正黑体_GBK" w:cs="方正黑体_GBK"/>
          <w:spacing w:val="0"/>
          <w:w w:val="100"/>
          <w:sz w:val="32"/>
          <w:szCs w:val="32"/>
          <w:lang w:val="en-US" w:eastAsia="zh-CN"/>
        </w:rPr>
        <w:t>工作安排</w:t>
      </w:r>
    </w:p>
    <w:p w14:paraId="5662AB72">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楷体_GBK" w:cs="Times New Roman"/>
          <w:b w:val="0"/>
          <w:bCs w:val="0"/>
          <w:spacing w:val="0"/>
          <w:w w:val="100"/>
          <w:sz w:val="32"/>
          <w:szCs w:val="32"/>
          <w:lang w:val="en-US" w:eastAsia="zh-CN"/>
        </w:rPr>
        <w:t>（一）</w:t>
      </w:r>
      <w:r>
        <w:rPr>
          <w:rFonts w:hint="default" w:ascii="Times New Roman" w:hAnsi="Times New Roman" w:eastAsia="方正楷体_GBK" w:cs="Times New Roman"/>
          <w:b w:val="0"/>
          <w:bCs w:val="0"/>
          <w:spacing w:val="0"/>
          <w:w w:val="100"/>
          <w:sz w:val="32"/>
          <w:szCs w:val="32"/>
          <w:lang w:val="en-US" w:eastAsia="zh-CN"/>
        </w:rPr>
        <w:t>部署发动阶段</w:t>
      </w:r>
      <w:r>
        <w:rPr>
          <w:rFonts w:hint="default" w:ascii="Times New Roman" w:hAnsi="Times New Roman" w:eastAsia="方正楷体_GBK" w:cs="Times New Roman"/>
          <w:b w:val="0"/>
          <w:bCs w:val="0"/>
          <w:spacing w:val="0"/>
          <w:w w:val="100"/>
          <w:sz w:val="32"/>
          <w:szCs w:val="32"/>
          <w:u w:val="none"/>
          <w:lang w:val="en-US" w:eastAsia="zh-CN"/>
        </w:rPr>
        <w:t>（2024年</w:t>
      </w:r>
      <w:r>
        <w:rPr>
          <w:rFonts w:hint="eastAsia" w:ascii="Times New Roman" w:hAnsi="Times New Roman" w:eastAsia="方正楷体_GBK" w:cs="Times New Roman"/>
          <w:b w:val="0"/>
          <w:bCs w:val="0"/>
          <w:spacing w:val="0"/>
          <w:w w:val="100"/>
          <w:sz w:val="32"/>
          <w:szCs w:val="32"/>
          <w:u w:val="none"/>
          <w:lang w:val="en-US" w:eastAsia="zh-CN"/>
        </w:rPr>
        <w:t>8</w:t>
      </w:r>
      <w:r>
        <w:rPr>
          <w:rFonts w:hint="default" w:ascii="Times New Roman" w:hAnsi="Times New Roman" w:eastAsia="方正楷体_GBK" w:cs="Times New Roman"/>
          <w:b w:val="0"/>
          <w:bCs w:val="0"/>
          <w:spacing w:val="0"/>
          <w:w w:val="100"/>
          <w:sz w:val="32"/>
          <w:szCs w:val="32"/>
          <w:u w:val="none"/>
          <w:lang w:val="en-US" w:eastAsia="zh-CN"/>
        </w:rPr>
        <w:t>月</w:t>
      </w:r>
      <w:r>
        <w:rPr>
          <w:rFonts w:hint="eastAsia" w:ascii="Times New Roman" w:hAnsi="Times New Roman" w:eastAsia="方正楷体_GBK" w:cs="Times New Roman"/>
          <w:b w:val="0"/>
          <w:bCs w:val="0"/>
          <w:spacing w:val="0"/>
          <w:w w:val="100"/>
          <w:sz w:val="32"/>
          <w:szCs w:val="32"/>
          <w:u w:val="none"/>
          <w:lang w:val="en-US" w:eastAsia="zh-CN"/>
        </w:rPr>
        <w:t>25</w:t>
      </w:r>
      <w:r>
        <w:rPr>
          <w:rFonts w:hint="default" w:ascii="Times New Roman" w:hAnsi="Times New Roman" w:eastAsia="方正楷体_GBK" w:cs="Times New Roman"/>
          <w:b w:val="0"/>
          <w:bCs w:val="0"/>
          <w:spacing w:val="0"/>
          <w:w w:val="100"/>
          <w:sz w:val="32"/>
          <w:szCs w:val="32"/>
          <w:u w:val="none"/>
          <w:lang w:val="en-US" w:eastAsia="zh-CN"/>
        </w:rPr>
        <w:t>日前）。</w:t>
      </w:r>
      <w:r>
        <w:rPr>
          <w:rFonts w:hint="default" w:ascii="Times New Roman" w:hAnsi="Times New Roman" w:eastAsia="方正仿宋_GBK" w:cs="Times New Roman"/>
          <w:spacing w:val="0"/>
          <w:w w:val="100"/>
          <w:sz w:val="32"/>
          <w:szCs w:val="32"/>
          <w:u w:val="none"/>
          <w:lang w:val="en-US" w:eastAsia="zh-CN"/>
        </w:rPr>
        <w:t>成</w:t>
      </w:r>
      <w:r>
        <w:rPr>
          <w:rFonts w:hint="default" w:ascii="Times New Roman" w:hAnsi="Times New Roman" w:eastAsia="方正仿宋_GBK" w:cs="Times New Roman"/>
          <w:spacing w:val="0"/>
          <w:w w:val="100"/>
          <w:sz w:val="32"/>
          <w:szCs w:val="32"/>
          <w:lang w:val="en-US" w:eastAsia="zh-CN"/>
        </w:rPr>
        <w:t>立专班</w:t>
      </w:r>
      <w:r>
        <w:rPr>
          <w:rFonts w:hint="default" w:ascii="Times New Roman" w:hAnsi="Times New Roman" w:eastAsia="方正楷体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完成全县工作方案，并部署发动各镇（区、街道、园区）制定工作方案、县各有关部门和单位细化工作要求，加强条线发动</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于</w:t>
      </w:r>
      <w:r>
        <w:rPr>
          <w:rFonts w:hint="eastAsia" w:ascii="Times New Roman" w:hAnsi="Times New Roman" w:eastAsia="方正仿宋_GBK" w:cs="Times New Roman"/>
          <w:spacing w:val="0"/>
          <w:w w:val="100"/>
          <w:sz w:val="32"/>
          <w:szCs w:val="32"/>
          <w:lang w:val="en-US" w:eastAsia="zh-CN"/>
        </w:rPr>
        <w:t>8</w:t>
      </w:r>
      <w:r>
        <w:rPr>
          <w:rFonts w:hint="default" w:ascii="Times New Roman" w:hAnsi="Times New Roman" w:eastAsia="方正仿宋_GBK" w:cs="Times New Roman"/>
          <w:spacing w:val="0"/>
          <w:w w:val="100"/>
          <w:sz w:val="32"/>
          <w:szCs w:val="32"/>
          <w:u w:val="none"/>
          <w:lang w:val="en-US" w:eastAsia="zh-CN"/>
        </w:rPr>
        <w:t>月</w:t>
      </w:r>
      <w:r>
        <w:rPr>
          <w:rFonts w:hint="eastAsia" w:ascii="Times New Roman" w:hAnsi="Times New Roman" w:eastAsia="方正仿宋_GBK" w:cs="Times New Roman"/>
          <w:spacing w:val="0"/>
          <w:w w:val="100"/>
          <w:sz w:val="32"/>
          <w:szCs w:val="32"/>
          <w:u w:val="none"/>
          <w:lang w:val="en-US" w:eastAsia="zh-CN"/>
        </w:rPr>
        <w:t>25</w:t>
      </w:r>
      <w:r>
        <w:rPr>
          <w:rFonts w:hint="default" w:ascii="Times New Roman" w:hAnsi="Times New Roman" w:eastAsia="方正仿宋_GBK" w:cs="Times New Roman"/>
          <w:spacing w:val="0"/>
          <w:w w:val="100"/>
          <w:sz w:val="32"/>
          <w:szCs w:val="32"/>
          <w:u w:val="none"/>
          <w:lang w:val="en-US" w:eastAsia="zh-CN"/>
        </w:rPr>
        <w:t>日前</w:t>
      </w:r>
      <w:r>
        <w:rPr>
          <w:rFonts w:hint="default" w:ascii="Times New Roman" w:hAnsi="Times New Roman" w:eastAsia="方正仿宋_GBK" w:cs="Times New Roman"/>
          <w:spacing w:val="0"/>
          <w:w w:val="100"/>
          <w:sz w:val="32"/>
          <w:szCs w:val="32"/>
          <w:lang w:val="en-US" w:eastAsia="zh-CN"/>
        </w:rPr>
        <w:t>，将部署情况（实施方案）及工作负责人、联络员名单报送县工作专班办公室。</w:t>
      </w:r>
    </w:p>
    <w:p w14:paraId="3AAF9FF2">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楷体_GBK" w:cs="Times New Roman"/>
          <w:b w:val="0"/>
          <w:bCs w:val="0"/>
          <w:spacing w:val="0"/>
          <w:w w:val="100"/>
          <w:sz w:val="32"/>
          <w:szCs w:val="32"/>
          <w:lang w:val="en-US" w:eastAsia="zh-CN"/>
        </w:rPr>
        <w:t>（二）</w:t>
      </w:r>
      <w:r>
        <w:rPr>
          <w:rFonts w:hint="default" w:ascii="Times New Roman" w:hAnsi="Times New Roman" w:eastAsia="方正楷体_GBK" w:cs="Times New Roman"/>
          <w:b w:val="0"/>
          <w:bCs w:val="0"/>
          <w:spacing w:val="0"/>
          <w:w w:val="100"/>
          <w:sz w:val="32"/>
          <w:szCs w:val="32"/>
          <w:lang w:val="en-US" w:eastAsia="zh-CN"/>
        </w:rPr>
        <w:t>排查整治阶段（2024年8月至12</w:t>
      </w:r>
      <w:r>
        <w:rPr>
          <w:rFonts w:hint="eastAsia" w:ascii="Times New Roman" w:hAnsi="Times New Roman" w:eastAsia="方正楷体_GBK" w:cs="Times New Roman"/>
          <w:b w:val="0"/>
          <w:bCs w:val="0"/>
          <w:spacing w:val="0"/>
          <w:w w:val="100"/>
          <w:sz w:val="32"/>
          <w:szCs w:val="32"/>
          <w:lang w:val="en-US" w:eastAsia="zh-CN"/>
        </w:rPr>
        <w:t>月</w:t>
      </w:r>
      <w:r>
        <w:rPr>
          <w:rFonts w:hint="default" w:ascii="Times New Roman" w:hAnsi="Times New Roman" w:eastAsia="方正楷体_GBK" w:cs="Times New Roman"/>
          <w:b w:val="0"/>
          <w:bCs w:val="0"/>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各镇（区、街道、园区）、县各有关部门和单位围绕重点任务，条块结合，组织相关部门、发动基层组织、督促社会单位应用高层建筑消防专项排查治理信息系统深入开展排查，全面摸清底数。排查整治要组织专业技术人员参与，发挥行业专家和第三方机构作用，加强部门间协作联动和信息共享。坚持边查边改，对发现的消防隐患要建立台账清单，动态销号管理，对其中的重大火灾隐患和突出问题要推动立即整改。要加强全社会共同监督，建立公众举报监督和查实奖励机制。加强媒体曝光，发挥监督作用，针对问题线索，组织媒体跟随明察暗访、跟进整改督办、跟踪落实问效。各行业部门要加强本行业、本系统排查工作的业务指导，及时开展督促检查，提高排查工作质量。</w:t>
      </w:r>
    </w:p>
    <w:p w14:paraId="6D4982F7">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cs="Times New Roman"/>
          <w:w w:val="100"/>
        </w:rPr>
      </w:pPr>
      <w:r>
        <w:rPr>
          <w:rFonts w:hint="default" w:ascii="Times New Roman" w:hAnsi="Times New Roman" w:eastAsia="方正楷体_GBK" w:cs="Times New Roman"/>
          <w:b w:val="0"/>
          <w:bCs w:val="0"/>
          <w:spacing w:val="0"/>
          <w:w w:val="100"/>
          <w:sz w:val="32"/>
          <w:szCs w:val="32"/>
          <w:lang w:val="en-US" w:eastAsia="zh-CN"/>
        </w:rPr>
        <w:t>（三）巩固提升阶段（2025年12月底前）</w:t>
      </w:r>
      <w:r>
        <w:rPr>
          <w:rFonts w:hint="default" w:ascii="Times New Roman" w:hAnsi="Times New Roman" w:eastAsia="方正楷体_GBK" w:cs="Times New Roman"/>
          <w:b/>
          <w:bCs/>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在完成全面排查、边查边改的基础上，各镇（区、街道、园区）、县各有关部门和单位要及时跟踪，压茬推进，督促整改到位。因客观原因一时无法整改到位的火灾隐患，提请政府要挂牌督办，并采取有效防范管控措施。对于消防设计审查验收突出问题，特别是受土地性质、空间结构等因素影响无法满足办理消防审验条件的，在确保建筑消防本质安全的前提下，限期研究确定处置路径。各镇（区、街道、园区）、县各有关部门和单位要针对问题短板，适时组织开展</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回头看</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w:t>
      </w:r>
    </w:p>
    <w:p w14:paraId="40051DC5">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楷体_GBK" w:cs="Times New Roman"/>
          <w:b w:val="0"/>
          <w:bCs w:val="0"/>
          <w:spacing w:val="0"/>
          <w:w w:val="100"/>
          <w:sz w:val="32"/>
          <w:szCs w:val="32"/>
          <w:lang w:val="en-US" w:eastAsia="zh-CN"/>
        </w:rPr>
        <w:t>（四）完善长效机制。</w:t>
      </w:r>
      <w:r>
        <w:rPr>
          <w:rFonts w:hint="default" w:ascii="Times New Roman" w:hAnsi="Times New Roman" w:eastAsia="方正仿宋_GBK" w:cs="Times New Roman"/>
          <w:b w:val="0"/>
          <w:bCs w:val="0"/>
          <w:spacing w:val="0"/>
          <w:w w:val="100"/>
          <w:sz w:val="32"/>
          <w:szCs w:val="32"/>
          <w:lang w:val="en-US" w:eastAsia="zh-CN"/>
        </w:rPr>
        <w:t>认</w:t>
      </w:r>
      <w:r>
        <w:rPr>
          <w:rFonts w:hint="default" w:ascii="Times New Roman" w:hAnsi="Times New Roman" w:eastAsia="方正仿宋_GBK" w:cs="Times New Roman"/>
          <w:spacing w:val="0"/>
          <w:w w:val="100"/>
          <w:sz w:val="32"/>
          <w:szCs w:val="32"/>
          <w:lang w:val="en-US" w:eastAsia="zh-CN"/>
        </w:rPr>
        <w:t>真总结推广专项治理中行之有效的经验做法，切实巩固排查整治成效。加快完善相关法规和标准规范，建立消防安全风险管控和隐患排查治理双重预防机制。对消防设施、电缆井等重点部位，各镇（区、街道、园区）、县各有关部门和单位要明确日常管理、维护的牵头部门，细化责任落实。结合安全生产治本攻坚三年行动，推动高层建筑消防安全治理模式向事前预防转型，基本建立消防安全管理长效机制，持续提升建筑本质安全水平。</w:t>
      </w:r>
    </w:p>
    <w:p w14:paraId="1B352271">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黑体_GBK" w:cs="方正黑体_GBK"/>
          <w:spacing w:val="0"/>
          <w:w w:val="100"/>
          <w:sz w:val="32"/>
          <w:szCs w:val="32"/>
          <w:lang w:val="en-US" w:eastAsia="zh-CN"/>
        </w:rPr>
        <w:t>五、保障措施</w:t>
      </w:r>
    </w:p>
    <w:p w14:paraId="5C062785">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楷体_GBK" w:cs="Times New Roman"/>
          <w:b w:val="0"/>
          <w:bCs w:val="0"/>
          <w:spacing w:val="0"/>
          <w:w w:val="100"/>
          <w:sz w:val="32"/>
          <w:szCs w:val="32"/>
          <w:lang w:val="en-US" w:eastAsia="zh-CN"/>
        </w:rPr>
        <w:t>（一）提高认识，加强组织领导。</w:t>
      </w:r>
      <w:r>
        <w:rPr>
          <w:rFonts w:hint="default" w:ascii="Times New Roman" w:hAnsi="Times New Roman" w:eastAsia="方正仿宋_GBK" w:cs="Times New Roman"/>
          <w:spacing w:val="0"/>
          <w:w w:val="100"/>
          <w:sz w:val="32"/>
          <w:szCs w:val="32"/>
          <w:lang w:val="en-US" w:eastAsia="zh-CN"/>
        </w:rPr>
        <w:t>各镇（区、街道、园区）、县各有关部门和单位要充分认识高层建筑消防隐患</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一件事</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全链条治理工作的重要意义，贯穿到本地区、本系统的主要工作中，与重点任务同部署、同落实。县级成立工作专班，负责统筹协调、推进实施，建立调度通报、督导评估、督办交办、警示提醒、重点约谈等工作机制，及时协调解决重大问题，重要事项按程序请示报告。县住房和城乡建设局、县消防救援局主要负责同志共同担任召集人，成员由相关部门分管负责同志担任。</w:t>
      </w:r>
      <w:r>
        <w:rPr>
          <w:rFonts w:hint="eastAsia" w:ascii="Times New Roman" w:hAnsi="Times New Roman" w:eastAsia="方正仿宋_GBK" w:cs="Times New Roman"/>
          <w:spacing w:val="0"/>
          <w:w w:val="100"/>
          <w:sz w:val="32"/>
          <w:szCs w:val="32"/>
          <w:lang w:val="en-US" w:eastAsia="zh-CN"/>
        </w:rPr>
        <w:t>县</w:t>
      </w:r>
      <w:r>
        <w:rPr>
          <w:rFonts w:hint="default" w:ascii="Times New Roman" w:hAnsi="Times New Roman" w:eastAsia="方正仿宋_GBK" w:cs="Times New Roman"/>
          <w:spacing w:val="0"/>
          <w:w w:val="100"/>
          <w:sz w:val="32"/>
          <w:szCs w:val="32"/>
          <w:lang w:val="en-US" w:eastAsia="zh-CN"/>
        </w:rPr>
        <w:t>工作专班办公室设在</w:t>
      </w:r>
      <w:r>
        <w:rPr>
          <w:rFonts w:hint="eastAsia" w:ascii="Times New Roman" w:hAnsi="Times New Roman" w:eastAsia="方正仿宋_GBK" w:cs="Times New Roman"/>
          <w:spacing w:val="0"/>
          <w:w w:val="100"/>
          <w:sz w:val="32"/>
          <w:szCs w:val="32"/>
          <w:lang w:val="en-US" w:eastAsia="zh-CN"/>
        </w:rPr>
        <w:t>县</w:t>
      </w:r>
      <w:r>
        <w:rPr>
          <w:rFonts w:hint="default" w:ascii="Times New Roman" w:hAnsi="Times New Roman" w:eastAsia="方正仿宋_GBK" w:cs="Times New Roman"/>
          <w:spacing w:val="0"/>
          <w:w w:val="100"/>
          <w:sz w:val="32"/>
          <w:szCs w:val="32"/>
          <w:lang w:val="en-US" w:eastAsia="zh-CN"/>
        </w:rPr>
        <w:t>住房和城乡建设局，负责定期调度、实时汇总、情况通报等，适时组织专家开展明察暗访、专项督查、联合检查，必要时抽调人员集中办公。</w:t>
      </w:r>
    </w:p>
    <w:p w14:paraId="791CC370">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楷体_GBK" w:cs="Times New Roman"/>
          <w:b w:val="0"/>
          <w:bCs w:val="0"/>
          <w:spacing w:val="0"/>
          <w:w w:val="100"/>
          <w:sz w:val="32"/>
          <w:szCs w:val="32"/>
          <w:lang w:val="en-US" w:eastAsia="zh-CN"/>
        </w:rPr>
        <w:t>（二）强化督导，狠抓责任落实。</w:t>
      </w:r>
      <w:r>
        <w:rPr>
          <w:rFonts w:hint="default" w:ascii="Times New Roman" w:hAnsi="Times New Roman" w:eastAsia="方正仿宋_GBK" w:cs="Times New Roman"/>
          <w:b w:val="0"/>
          <w:bCs w:val="0"/>
          <w:spacing w:val="0"/>
          <w:w w:val="100"/>
          <w:sz w:val="32"/>
          <w:szCs w:val="32"/>
          <w:lang w:val="en-US" w:eastAsia="zh-CN"/>
        </w:rPr>
        <w:t>各</w:t>
      </w:r>
      <w:r>
        <w:rPr>
          <w:rFonts w:hint="default" w:ascii="Times New Roman" w:hAnsi="Times New Roman" w:eastAsia="方正仿宋_GBK" w:cs="Times New Roman"/>
          <w:spacing w:val="0"/>
          <w:w w:val="100"/>
          <w:sz w:val="32"/>
          <w:szCs w:val="32"/>
          <w:lang w:val="en-US" w:eastAsia="zh-CN"/>
        </w:rPr>
        <w:t>镇（区、街道、园区）、县各有关部门和单位要结合实际，对本行业、本地区高层建筑消防隐患排查治理情况加强督查检查，对工作进展缓慢、推诿扯皮、推进不实的，予以通报、约谈。县消委办要将高层建筑消防隐患</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一件事</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全链条治理情况纳入考核督导，推动各项工作任务落地落细落实，对因履职不力产生负面影响的，依法追究有关单位和人员的责任。县安委会要将高层建筑消防隐患</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一件事</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全链条治理纳入安全生产考核督导，推动各项工作任务落地落细落实，对因履职不力产生负面影响的，依法追究有关单位和人员的责任。</w:t>
      </w:r>
    </w:p>
    <w:p w14:paraId="3D2B9117">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楷体_GBK" w:cs="Times New Roman"/>
          <w:b w:val="0"/>
          <w:bCs w:val="0"/>
          <w:spacing w:val="0"/>
          <w:w w:val="100"/>
          <w:sz w:val="32"/>
          <w:szCs w:val="32"/>
          <w:lang w:val="en-US" w:eastAsia="zh-CN"/>
        </w:rPr>
        <w:t>（三）加强协作，推动联合执法。</w:t>
      </w:r>
      <w:r>
        <w:rPr>
          <w:rFonts w:hint="default" w:ascii="Times New Roman" w:hAnsi="Times New Roman" w:eastAsia="方正仿宋_GBK" w:cs="Times New Roman"/>
          <w:b w:val="0"/>
          <w:bCs w:val="0"/>
          <w:spacing w:val="0"/>
          <w:w w:val="100"/>
          <w:sz w:val="32"/>
          <w:szCs w:val="32"/>
          <w:lang w:val="en-US" w:eastAsia="zh-CN"/>
        </w:rPr>
        <w:t>各</w:t>
      </w:r>
      <w:r>
        <w:rPr>
          <w:rFonts w:hint="default" w:ascii="Times New Roman" w:hAnsi="Times New Roman" w:eastAsia="方正仿宋_GBK" w:cs="Times New Roman"/>
          <w:spacing w:val="0"/>
          <w:w w:val="100"/>
          <w:sz w:val="32"/>
          <w:szCs w:val="32"/>
          <w:lang w:val="en-US" w:eastAsia="zh-CN"/>
        </w:rPr>
        <w:t>镇（区、街道、园区）、县各有关部门和单位要加强条块联动、上下联动，形成工作合力，推进高层建筑消防安全排查整治和消防设计审查验收突出问题专项治理工作。</w:t>
      </w:r>
      <w:r>
        <w:rPr>
          <w:rFonts w:hint="eastAsia" w:ascii="方正仿宋_GBK" w:hAnsi="方正仿宋_GBK" w:eastAsia="方正仿宋_GBK" w:cs="方正仿宋_GBK"/>
          <w:spacing w:val="0"/>
          <w:w w:val="100"/>
          <w:sz w:val="32"/>
          <w:szCs w:val="32"/>
          <w:lang w:val="en-US" w:eastAsia="zh-CN"/>
        </w:rPr>
        <w:t>消防、住建、城管、自然资源</w:t>
      </w:r>
      <w:r>
        <w:rPr>
          <w:rFonts w:hint="default" w:ascii="Times New Roman" w:hAnsi="Times New Roman" w:eastAsia="方正仿宋_GBK" w:cs="Times New Roman"/>
          <w:spacing w:val="0"/>
          <w:w w:val="100"/>
          <w:sz w:val="32"/>
          <w:szCs w:val="32"/>
          <w:lang w:val="en-US" w:eastAsia="zh-CN"/>
        </w:rPr>
        <w:t>等部门建立健全常态化联合监管执法机制，开展跨部门联合检查，共同处置、协同执法，按职责分工定期组织曝光一批典型执法案例。</w:t>
      </w:r>
    </w:p>
    <w:p w14:paraId="4E0472E6">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楷体_GBK" w:cs="Times New Roman"/>
          <w:b w:val="0"/>
          <w:bCs w:val="0"/>
          <w:spacing w:val="0"/>
          <w:w w:val="100"/>
          <w:sz w:val="32"/>
          <w:szCs w:val="32"/>
          <w:lang w:val="en-US" w:eastAsia="zh-CN"/>
        </w:rPr>
        <w:t>（四）加强宣传，强化综合保障。</w:t>
      </w:r>
      <w:r>
        <w:rPr>
          <w:rFonts w:hint="default" w:ascii="Times New Roman" w:hAnsi="Times New Roman" w:eastAsia="方正仿宋_GBK" w:cs="Times New Roman"/>
          <w:b w:val="0"/>
          <w:bCs w:val="0"/>
          <w:spacing w:val="0"/>
          <w:w w:val="100"/>
          <w:sz w:val="32"/>
          <w:szCs w:val="32"/>
          <w:lang w:val="en-US" w:eastAsia="zh-CN"/>
        </w:rPr>
        <w:t>各镇（区、街道</w:t>
      </w:r>
      <w:r>
        <w:rPr>
          <w:rFonts w:hint="default" w:ascii="Times New Roman" w:hAnsi="Times New Roman" w:eastAsia="方正仿宋_GBK" w:cs="Times New Roman"/>
          <w:spacing w:val="0"/>
          <w:w w:val="100"/>
          <w:sz w:val="32"/>
          <w:szCs w:val="32"/>
          <w:lang w:val="en-US" w:eastAsia="zh-CN"/>
        </w:rPr>
        <w:t>、园区）、县各有关部门和单位要充分利用电视、广播等媒体以及户外大屏、楼宇电视、社区广播、小喇叭等宣传方式，加大高层建筑消防安全常识和案例警示宣传力度。县级财政要安排必要经费支持排查整治工作。加强消防设计审查验收机构和技术支撑单位建设，充实人员力量，提升排查整治质效。</w:t>
      </w:r>
    </w:p>
    <w:p w14:paraId="5ECE8553">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right="0" w:rightChars="0"/>
        <w:jc w:val="both"/>
        <w:textAlignment w:val="auto"/>
        <w:rPr>
          <w:rFonts w:hint="default" w:ascii="Times New Roman" w:hAnsi="Times New Roman" w:eastAsia="方正仿宋_GBK" w:cs="Times New Roman"/>
          <w:spacing w:val="0"/>
          <w:w w:val="100"/>
          <w:sz w:val="32"/>
          <w:szCs w:val="32"/>
          <w:lang w:val="en-US" w:eastAsia="zh-CN"/>
        </w:rPr>
      </w:pPr>
    </w:p>
    <w:p w14:paraId="7EF90CCF">
      <w:pPr>
        <w:keepNext w:val="0"/>
        <w:keepLines w:val="0"/>
        <w:pageBreakBefore w:val="0"/>
        <w:widowControl w:val="0"/>
        <w:numPr>
          <w:ilvl w:val="0"/>
          <w:numId w:val="0"/>
        </w:numPr>
        <w:kinsoku/>
        <w:wordWrap/>
        <w:overflowPunct w:val="0"/>
        <w:topLinePunct w:val="0"/>
        <w:autoSpaceDE/>
        <w:autoSpaceDN/>
        <w:bidi w:val="0"/>
        <w:adjustRightInd/>
        <w:snapToGrid/>
        <w:spacing w:line="560" w:lineRule="exact"/>
        <w:ind w:left="1598" w:leftChars="304" w:right="0" w:rightChars="0" w:hanging="960" w:hangingChars="300"/>
        <w:jc w:val="both"/>
        <w:textAlignment w:val="auto"/>
        <w:rPr>
          <w:rFonts w:hint="default" w:ascii="Times New Roman" w:hAnsi="Times New Roman" w:eastAsia="宋体" w:cs="Times New Roman"/>
          <w:b w:val="0"/>
          <w:i w:val="0"/>
          <w:strike w:val="0"/>
          <w:color w:val="000000"/>
          <w:w w:val="100"/>
          <w:sz w:val="33"/>
        </w:rPr>
      </w:pPr>
      <w:r>
        <w:rPr>
          <w:rFonts w:hint="default" w:ascii="Times New Roman" w:hAnsi="Times New Roman" w:eastAsia="方正仿宋_GBK" w:cs="Times New Roman"/>
          <w:spacing w:val="0"/>
          <w:w w:val="100"/>
          <w:sz w:val="32"/>
          <w:szCs w:val="32"/>
          <w:lang w:val="en-US" w:eastAsia="zh-CN"/>
        </w:rPr>
        <w:t>附件：滨海县高层建筑消防隐患</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一件事</w:t>
      </w:r>
      <w:r>
        <w:rPr>
          <w:rFonts w:hint="eastAsia" w:ascii="Times New Roman" w:hAnsi="Times New Roman" w:eastAsia="方正仿宋_GBK" w:cs="Times New Roman"/>
          <w:spacing w:val="0"/>
          <w:w w:val="100"/>
          <w:sz w:val="32"/>
          <w:szCs w:val="32"/>
          <w:lang w:val="en-US" w:eastAsia="zh-CN"/>
        </w:rPr>
        <w:t>”</w:t>
      </w:r>
      <w:r>
        <w:rPr>
          <w:rFonts w:hint="default" w:ascii="Times New Roman" w:hAnsi="Times New Roman" w:eastAsia="方正仿宋_GBK" w:cs="Times New Roman"/>
          <w:spacing w:val="0"/>
          <w:w w:val="100"/>
          <w:sz w:val="32"/>
          <w:szCs w:val="32"/>
          <w:lang w:val="en-US" w:eastAsia="zh-CN"/>
        </w:rPr>
        <w:t>全链条治理条线工作职责分工</w:t>
      </w:r>
    </w:p>
    <w:p w14:paraId="28CD59A5">
      <w:pPr>
        <w:rPr>
          <w:rFonts w:hint="default" w:ascii="Times New Roman" w:hAnsi="Times New Roman" w:eastAsia="方正黑体_GBK" w:cs="Times New Roman"/>
          <w:b w:val="0"/>
          <w:i w:val="0"/>
          <w:strike w:val="0"/>
          <w:color w:val="000000"/>
          <w:w w:val="100"/>
          <w:sz w:val="33"/>
        </w:rPr>
      </w:pPr>
      <w:r>
        <w:rPr>
          <w:rFonts w:hint="default" w:ascii="Times New Roman" w:hAnsi="Times New Roman" w:eastAsia="方正黑体_GBK" w:cs="Times New Roman"/>
          <w:b w:val="0"/>
          <w:i w:val="0"/>
          <w:strike w:val="0"/>
          <w:color w:val="000000"/>
          <w:w w:val="100"/>
          <w:sz w:val="33"/>
        </w:rPr>
        <w:br w:type="page"/>
      </w:r>
    </w:p>
    <w:p w14:paraId="6298C75B">
      <w:pPr>
        <w:keepNext w:val="0"/>
        <w:keepLines w:val="0"/>
        <w:pageBreakBefore w:val="0"/>
        <w:widowControl w:val="0"/>
        <w:kinsoku/>
        <w:wordWrap/>
        <w:overflowPunct w:val="0"/>
        <w:topLinePunct w:val="0"/>
        <w:autoSpaceDE/>
        <w:autoSpaceDN/>
        <w:bidi w:val="0"/>
        <w:adjustRightInd/>
        <w:snapToGrid/>
        <w:spacing w:after="0" w:line="570" w:lineRule="exact"/>
        <w:ind w:right="0" w:rightChars="0"/>
        <w:jc w:val="both"/>
        <w:textAlignment w:val="auto"/>
        <w:rPr>
          <w:rFonts w:hint="default" w:ascii="Times New Roman" w:hAnsi="Times New Roman" w:eastAsia="黑体" w:cs="Times New Roman"/>
          <w:b w:val="0"/>
          <w:i w:val="0"/>
          <w:strike w:val="0"/>
          <w:color w:val="000000"/>
          <w:w w:val="100"/>
          <w:sz w:val="41"/>
          <w:lang w:val="en-US" w:eastAsia="zh-CN"/>
        </w:rPr>
      </w:pPr>
      <w:r>
        <w:rPr>
          <w:rFonts w:hint="default" w:ascii="Times New Roman" w:hAnsi="Times New Roman" w:eastAsia="方正黑体_GBK" w:cs="Times New Roman"/>
          <w:b w:val="0"/>
          <w:i w:val="0"/>
          <w:strike w:val="0"/>
          <w:color w:val="000000"/>
          <w:w w:val="100"/>
          <w:sz w:val="33"/>
        </w:rPr>
        <w:t>附件</w:t>
      </w:r>
      <w:r>
        <w:rPr>
          <w:rFonts w:hint="default" w:ascii="Times New Roman" w:hAnsi="Times New Roman" w:eastAsia="方正黑体_GBK" w:cs="Times New Roman"/>
          <w:b w:val="0"/>
          <w:i w:val="0"/>
          <w:strike w:val="0"/>
          <w:color w:val="000000"/>
          <w:w w:val="100"/>
          <w:sz w:val="33"/>
          <w:lang w:eastAsia="zh-CN"/>
        </w:rPr>
        <w:t>：</w:t>
      </w:r>
    </w:p>
    <w:p w14:paraId="78A32BB8">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0" w:firstLineChars="0"/>
        <w:jc w:val="center"/>
        <w:textAlignment w:val="auto"/>
        <w:rPr>
          <w:rFonts w:hint="default" w:ascii="Times New Roman" w:hAnsi="Times New Roman" w:eastAsia="方正小标宋_GBK" w:cs="Times New Roman"/>
          <w:b w:val="0"/>
          <w:i w:val="0"/>
          <w:strike w:val="0"/>
          <w:color w:val="000000"/>
          <w:w w:val="100"/>
          <w:sz w:val="44"/>
          <w:szCs w:val="44"/>
          <w:lang w:eastAsia="zh-CN"/>
        </w:rPr>
      </w:pPr>
    </w:p>
    <w:p w14:paraId="39B21877">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0" w:firstLineChars="0"/>
        <w:jc w:val="center"/>
        <w:textAlignment w:val="auto"/>
        <w:rPr>
          <w:rFonts w:hint="eastAsia" w:ascii="Times New Roman" w:hAnsi="Times New Roman" w:eastAsia="方正小标宋_GBK" w:cs="Times New Roman"/>
          <w:w w:val="100"/>
          <w:sz w:val="44"/>
          <w:szCs w:val="44"/>
          <w:lang w:eastAsia="zh-CN"/>
        </w:rPr>
      </w:pPr>
      <w:r>
        <w:rPr>
          <w:rFonts w:hint="default" w:ascii="Times New Roman" w:hAnsi="Times New Roman" w:eastAsia="方正小标宋_GBK" w:cs="Times New Roman"/>
          <w:b w:val="0"/>
          <w:i w:val="0"/>
          <w:strike w:val="0"/>
          <w:color w:val="000000"/>
          <w:w w:val="100"/>
          <w:sz w:val="44"/>
          <w:szCs w:val="44"/>
          <w:lang w:eastAsia="zh-CN"/>
        </w:rPr>
        <w:t>滨海县</w:t>
      </w:r>
      <w:r>
        <w:rPr>
          <w:rFonts w:hint="default" w:ascii="Times New Roman" w:hAnsi="Times New Roman" w:eastAsia="方正小标宋_GBK" w:cs="Times New Roman"/>
          <w:b w:val="0"/>
          <w:i w:val="0"/>
          <w:strike w:val="0"/>
          <w:color w:val="000000"/>
          <w:w w:val="100"/>
          <w:sz w:val="44"/>
          <w:szCs w:val="44"/>
        </w:rPr>
        <w:t>高层建筑消防隐患</w:t>
      </w:r>
      <w:r>
        <w:rPr>
          <w:rFonts w:hint="eastAsia" w:ascii="Times New Roman" w:hAnsi="Times New Roman" w:eastAsia="方正小标宋_GBK" w:cs="Times New Roman"/>
          <w:b w:val="0"/>
          <w:i w:val="0"/>
          <w:strike w:val="0"/>
          <w:color w:val="000000"/>
          <w:w w:val="100"/>
          <w:sz w:val="44"/>
          <w:szCs w:val="44"/>
          <w:lang w:eastAsia="zh-CN"/>
        </w:rPr>
        <w:t>“</w:t>
      </w:r>
      <w:r>
        <w:rPr>
          <w:rFonts w:hint="default" w:ascii="Times New Roman" w:hAnsi="Times New Roman" w:eastAsia="方正小标宋_GBK" w:cs="Times New Roman"/>
          <w:b w:val="0"/>
          <w:i w:val="0"/>
          <w:strike w:val="0"/>
          <w:color w:val="000000"/>
          <w:w w:val="100"/>
          <w:sz w:val="44"/>
          <w:szCs w:val="44"/>
        </w:rPr>
        <w:t>一件事</w:t>
      </w:r>
      <w:r>
        <w:rPr>
          <w:rFonts w:hint="eastAsia" w:ascii="Times New Roman" w:hAnsi="Times New Roman" w:eastAsia="方正小标宋_GBK" w:cs="Times New Roman"/>
          <w:b w:val="0"/>
          <w:i w:val="0"/>
          <w:strike w:val="0"/>
          <w:color w:val="000000"/>
          <w:w w:val="100"/>
          <w:sz w:val="44"/>
          <w:szCs w:val="44"/>
          <w:lang w:eastAsia="zh-CN"/>
        </w:rPr>
        <w:t>”</w:t>
      </w:r>
    </w:p>
    <w:p w14:paraId="1FA81C5F">
      <w:pPr>
        <w:keepNext w:val="0"/>
        <w:keepLines w:val="0"/>
        <w:pageBreakBefore w:val="0"/>
        <w:widowControl w:val="0"/>
        <w:kinsoku/>
        <w:wordWrap/>
        <w:overflowPunct w:val="0"/>
        <w:topLinePunct w:val="0"/>
        <w:autoSpaceDE/>
        <w:autoSpaceDN/>
        <w:bidi w:val="0"/>
        <w:adjustRightInd/>
        <w:snapToGrid/>
        <w:spacing w:after="0" w:line="570" w:lineRule="exact"/>
        <w:ind w:left="0" w:leftChars="0" w:right="0" w:rightChars="0" w:firstLine="0" w:firstLineChars="0"/>
        <w:jc w:val="center"/>
        <w:textAlignment w:val="auto"/>
        <w:rPr>
          <w:rFonts w:hint="default" w:ascii="Times New Roman" w:hAnsi="Times New Roman" w:eastAsia="方正小标宋_GBK" w:cs="Times New Roman"/>
          <w:w w:val="100"/>
          <w:sz w:val="44"/>
          <w:szCs w:val="44"/>
        </w:rPr>
      </w:pPr>
      <w:r>
        <w:rPr>
          <w:rFonts w:hint="default" w:ascii="Times New Roman" w:hAnsi="Times New Roman" w:eastAsia="方正小标宋_GBK" w:cs="Times New Roman"/>
          <w:b w:val="0"/>
          <w:i w:val="0"/>
          <w:strike w:val="0"/>
          <w:color w:val="000000"/>
          <w:w w:val="100"/>
          <w:sz w:val="44"/>
          <w:szCs w:val="44"/>
        </w:rPr>
        <w:t>全链条治理条线工作职责分工</w:t>
      </w:r>
    </w:p>
    <w:p w14:paraId="1024287C">
      <w:pPr>
        <w:wordWrap w:val="0"/>
        <w:spacing w:before="0" w:after="0" w:line="560" w:lineRule="exact"/>
        <w:ind w:left="0" w:leftChars="0" w:right="0" w:rightChars="0" w:firstLine="0" w:firstLineChars="0"/>
        <w:jc w:val="center"/>
        <w:textAlignment w:val="baseline"/>
        <w:rPr>
          <w:rFonts w:hint="default" w:ascii="Times New Roman" w:hAnsi="Times New Roman" w:cs="Times New Roman"/>
          <w:w w:val="100"/>
          <w:sz w:val="41"/>
        </w:rPr>
      </w:pPr>
    </w:p>
    <w:tbl>
      <w:tblPr>
        <w:tblStyle w:val="7"/>
        <w:tblW w:w="888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700"/>
        <w:gridCol w:w="1667"/>
        <w:gridCol w:w="6520"/>
      </w:tblGrid>
      <w:tr w14:paraId="74628C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556" w:hRule="atLeast"/>
          <w:tblHeader/>
          <w:jc w:val="center"/>
        </w:trPr>
        <w:tc>
          <w:tcPr>
            <w:tcW w:w="700" w:type="dxa"/>
            <w:vAlign w:val="center"/>
          </w:tcPr>
          <w:p w14:paraId="363AF66E">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黑体_GBK" w:cs="Times New Roman"/>
                <w:b w:val="0"/>
                <w:bCs w:val="0"/>
                <w:w w:val="100"/>
                <w:sz w:val="24"/>
                <w:szCs w:val="24"/>
              </w:rPr>
            </w:pPr>
            <w:r>
              <w:rPr>
                <w:rFonts w:hint="default" w:ascii="Times New Roman" w:hAnsi="Times New Roman" w:eastAsia="方正黑体_GBK" w:cs="Times New Roman"/>
                <w:b w:val="0"/>
                <w:bCs w:val="0"/>
                <w:i w:val="0"/>
                <w:strike w:val="0"/>
                <w:color w:val="000000"/>
                <w:w w:val="100"/>
                <w:sz w:val="24"/>
                <w:szCs w:val="24"/>
              </w:rPr>
              <w:t>序号</w:t>
            </w:r>
          </w:p>
        </w:tc>
        <w:tc>
          <w:tcPr>
            <w:tcW w:w="1667" w:type="dxa"/>
            <w:vAlign w:val="center"/>
          </w:tcPr>
          <w:p w14:paraId="6ABD04F6">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黑体_GBK" w:cs="Times New Roman"/>
                <w:b w:val="0"/>
                <w:bCs w:val="0"/>
                <w:w w:val="100"/>
                <w:sz w:val="24"/>
                <w:szCs w:val="24"/>
              </w:rPr>
            </w:pPr>
            <w:r>
              <w:rPr>
                <w:rFonts w:hint="default" w:ascii="Times New Roman" w:hAnsi="Times New Roman" w:eastAsia="方正黑体_GBK" w:cs="Times New Roman"/>
                <w:b w:val="0"/>
                <w:bCs w:val="0"/>
                <w:i w:val="0"/>
                <w:strike w:val="0"/>
                <w:color w:val="000000"/>
                <w:w w:val="100"/>
                <w:sz w:val="24"/>
                <w:szCs w:val="24"/>
              </w:rPr>
              <w:t>部门</w:t>
            </w:r>
          </w:p>
        </w:tc>
        <w:tc>
          <w:tcPr>
            <w:tcW w:w="6520" w:type="dxa"/>
            <w:vAlign w:val="center"/>
          </w:tcPr>
          <w:p w14:paraId="76EC1AC8">
            <w:pPr>
              <w:keepNext w:val="0"/>
              <w:keepLines w:val="0"/>
              <w:pageBreakBefore w:val="0"/>
              <w:widowControl w:val="0"/>
              <w:kinsoku/>
              <w:wordWrap w:val="0"/>
              <w:overflowPunct/>
              <w:topLinePunct w:val="0"/>
              <w:autoSpaceDE/>
              <w:autoSpaceDN/>
              <w:bidi w:val="0"/>
              <w:adjustRightInd/>
              <w:snapToGrid/>
              <w:spacing w:before="0" w:after="0" w:line="300" w:lineRule="exact"/>
              <w:ind w:left="0" w:right="0" w:firstLine="2400" w:firstLineChars="1000"/>
              <w:jc w:val="both"/>
              <w:textAlignment w:val="baseline"/>
              <w:rPr>
                <w:rFonts w:hint="default" w:ascii="Times New Roman" w:hAnsi="Times New Roman" w:eastAsia="方正黑体_GBK" w:cs="Times New Roman"/>
                <w:b w:val="0"/>
                <w:bCs w:val="0"/>
                <w:w w:val="100"/>
                <w:sz w:val="24"/>
                <w:szCs w:val="24"/>
              </w:rPr>
            </w:pPr>
            <w:r>
              <w:rPr>
                <w:rFonts w:hint="default" w:ascii="Times New Roman" w:hAnsi="Times New Roman" w:eastAsia="方正黑体_GBK" w:cs="Times New Roman"/>
                <w:b w:val="0"/>
                <w:bCs w:val="0"/>
                <w:i w:val="0"/>
                <w:strike w:val="0"/>
                <w:color w:val="000000"/>
                <w:w w:val="100"/>
                <w:sz w:val="24"/>
                <w:szCs w:val="24"/>
              </w:rPr>
              <w:t>责任分工</w:t>
            </w:r>
          </w:p>
        </w:tc>
      </w:tr>
      <w:tr w14:paraId="570A2DF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94" w:hRule="atLeast"/>
          <w:jc w:val="center"/>
        </w:trPr>
        <w:tc>
          <w:tcPr>
            <w:tcW w:w="700" w:type="dxa"/>
            <w:vAlign w:val="center"/>
          </w:tcPr>
          <w:p w14:paraId="6D355EDE">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楷体" w:cs="Times New Roman"/>
                <w:w w:val="100"/>
                <w:sz w:val="24"/>
                <w:szCs w:val="24"/>
                <w:lang w:eastAsia="zh-CN"/>
              </w:rPr>
            </w:pPr>
            <w:r>
              <w:rPr>
                <w:rFonts w:hint="default" w:ascii="Times New Roman" w:hAnsi="Times New Roman" w:eastAsia="楷体" w:cs="Times New Roman"/>
                <w:b w:val="0"/>
                <w:i w:val="0"/>
                <w:strike w:val="0"/>
                <w:color w:val="000000"/>
                <w:w w:val="100"/>
                <w:sz w:val="24"/>
                <w:szCs w:val="24"/>
                <w:lang w:val="en-US" w:eastAsia="zh-CN"/>
              </w:rPr>
              <w:t>1</w:t>
            </w:r>
          </w:p>
        </w:tc>
        <w:tc>
          <w:tcPr>
            <w:tcW w:w="1667" w:type="dxa"/>
            <w:vAlign w:val="center"/>
          </w:tcPr>
          <w:p w14:paraId="637593E7">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楷体_GBK" w:cs="Times New Roman"/>
                <w:b w:val="0"/>
                <w:bCs w:val="0"/>
                <w:i w:val="0"/>
                <w:strike w:val="0"/>
                <w:color w:val="000000"/>
                <w:w w:val="100"/>
                <w:sz w:val="24"/>
                <w:szCs w:val="24"/>
              </w:rPr>
            </w:pPr>
            <w:r>
              <w:rPr>
                <w:rFonts w:hint="default" w:ascii="Times New Roman" w:hAnsi="Times New Roman" w:eastAsia="方正楷体_GBK" w:cs="Times New Roman"/>
                <w:b w:val="0"/>
                <w:bCs w:val="0"/>
                <w:i w:val="0"/>
                <w:strike w:val="0"/>
                <w:color w:val="000000"/>
                <w:w w:val="100"/>
                <w:sz w:val="24"/>
                <w:szCs w:val="24"/>
              </w:rPr>
              <w:t>教育部门</w:t>
            </w:r>
          </w:p>
          <w:p w14:paraId="57C0789D">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楷体_GBK" w:cs="Times New Roman"/>
                <w:b w:val="0"/>
                <w:bCs w:val="0"/>
                <w:w w:val="100"/>
                <w:sz w:val="24"/>
                <w:szCs w:val="24"/>
                <w:lang w:eastAsia="zh-CN"/>
              </w:rPr>
            </w:pPr>
            <w:r>
              <w:rPr>
                <w:rFonts w:hint="default" w:ascii="Times New Roman" w:hAnsi="Times New Roman" w:eastAsia="方正楷体_GBK" w:cs="Times New Roman"/>
                <w:b w:val="0"/>
                <w:bCs w:val="0"/>
                <w:i w:val="0"/>
                <w:strike w:val="0"/>
                <w:color w:val="000000"/>
                <w:w w:val="100"/>
                <w:sz w:val="24"/>
                <w:szCs w:val="24"/>
                <w:lang w:eastAsia="zh-CN"/>
              </w:rPr>
              <w:t>（含体育部门）</w:t>
            </w:r>
          </w:p>
        </w:tc>
        <w:tc>
          <w:tcPr>
            <w:tcW w:w="6520" w:type="dxa"/>
            <w:vAlign w:val="center"/>
          </w:tcPr>
          <w:p w14:paraId="3F4C4256">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both"/>
              <w:textAlignment w:val="baseline"/>
              <w:rPr>
                <w:rFonts w:hint="default" w:ascii="Times New Roman" w:hAnsi="Times New Roman" w:eastAsia="方正仿宋_GBK" w:cs="Times New Roman"/>
                <w:w w:val="100"/>
                <w:sz w:val="24"/>
                <w:szCs w:val="24"/>
              </w:rPr>
            </w:pPr>
            <w:r>
              <w:rPr>
                <w:rFonts w:hint="default" w:ascii="Times New Roman" w:hAnsi="Times New Roman" w:eastAsia="方正仿宋_GBK" w:cs="Times New Roman"/>
                <w:b w:val="0"/>
                <w:i w:val="0"/>
                <w:strike w:val="0"/>
                <w:color w:val="000000"/>
                <w:w w:val="100"/>
                <w:sz w:val="24"/>
                <w:szCs w:val="24"/>
              </w:rPr>
              <w:t>依法指导、督促本行业、本系统相关单位落实高层建筑消防安全责任，组织开展有针对性的消防安全检查。</w:t>
            </w:r>
          </w:p>
        </w:tc>
      </w:tr>
      <w:tr w14:paraId="60EB0C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94" w:hRule="atLeast"/>
          <w:jc w:val="center"/>
        </w:trPr>
        <w:tc>
          <w:tcPr>
            <w:tcW w:w="700" w:type="dxa"/>
            <w:vAlign w:val="center"/>
          </w:tcPr>
          <w:p w14:paraId="07C29637">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楷体" w:cs="Times New Roman"/>
                <w:w w:val="100"/>
                <w:sz w:val="24"/>
                <w:szCs w:val="24"/>
                <w:lang w:eastAsia="zh-CN"/>
              </w:rPr>
            </w:pPr>
            <w:r>
              <w:rPr>
                <w:rFonts w:hint="default" w:ascii="Times New Roman" w:hAnsi="Times New Roman" w:eastAsia="楷体" w:cs="Times New Roman"/>
                <w:b w:val="0"/>
                <w:i w:val="0"/>
                <w:strike w:val="0"/>
                <w:color w:val="000000"/>
                <w:w w:val="100"/>
                <w:sz w:val="24"/>
                <w:szCs w:val="24"/>
                <w:lang w:val="en-US" w:eastAsia="zh-CN"/>
              </w:rPr>
              <w:t>2</w:t>
            </w:r>
          </w:p>
        </w:tc>
        <w:tc>
          <w:tcPr>
            <w:tcW w:w="1667" w:type="dxa"/>
            <w:vAlign w:val="center"/>
          </w:tcPr>
          <w:p w14:paraId="6784A667">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楷体_GBK" w:cs="Times New Roman"/>
                <w:b w:val="0"/>
                <w:bCs w:val="0"/>
                <w:w w:val="100"/>
                <w:sz w:val="24"/>
                <w:szCs w:val="24"/>
              </w:rPr>
            </w:pPr>
            <w:r>
              <w:rPr>
                <w:rFonts w:hint="default" w:ascii="Times New Roman" w:hAnsi="Times New Roman" w:eastAsia="方正楷体_GBK" w:cs="Times New Roman"/>
                <w:b w:val="0"/>
                <w:bCs w:val="0"/>
                <w:i w:val="0"/>
                <w:strike w:val="0"/>
                <w:color w:val="000000"/>
                <w:w w:val="100"/>
                <w:sz w:val="24"/>
                <w:szCs w:val="24"/>
              </w:rPr>
              <w:t>工信部门</w:t>
            </w:r>
          </w:p>
        </w:tc>
        <w:tc>
          <w:tcPr>
            <w:tcW w:w="6520" w:type="dxa"/>
            <w:vAlign w:val="center"/>
          </w:tcPr>
          <w:p w14:paraId="265EAC5A">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both"/>
              <w:textAlignment w:val="baseline"/>
              <w:rPr>
                <w:rFonts w:hint="default" w:ascii="Times New Roman" w:hAnsi="Times New Roman" w:eastAsia="方正仿宋_GBK" w:cs="Times New Roman"/>
                <w:w w:val="100"/>
                <w:sz w:val="24"/>
                <w:szCs w:val="24"/>
              </w:rPr>
            </w:pPr>
            <w:r>
              <w:rPr>
                <w:rFonts w:hint="default" w:ascii="Times New Roman" w:hAnsi="Times New Roman" w:eastAsia="方正仿宋_GBK" w:cs="Times New Roman"/>
                <w:b w:val="0"/>
                <w:i w:val="0"/>
                <w:strike w:val="0"/>
                <w:color w:val="000000"/>
                <w:w w:val="100"/>
                <w:sz w:val="24"/>
                <w:szCs w:val="24"/>
              </w:rPr>
              <w:t>依法指导、督促本行业、本系统相关单位落实高层建筑消防安全责任，组织开展有针对性的消防安全检查。</w:t>
            </w:r>
          </w:p>
        </w:tc>
      </w:tr>
      <w:tr w14:paraId="1C63E3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94" w:hRule="atLeast"/>
          <w:jc w:val="center"/>
        </w:trPr>
        <w:tc>
          <w:tcPr>
            <w:tcW w:w="700" w:type="dxa"/>
            <w:vAlign w:val="center"/>
          </w:tcPr>
          <w:p w14:paraId="49FA9114">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楷体" w:cs="Times New Roman"/>
                <w:w w:val="100"/>
                <w:sz w:val="24"/>
                <w:szCs w:val="24"/>
                <w:lang w:eastAsia="zh-CN"/>
              </w:rPr>
            </w:pPr>
            <w:r>
              <w:rPr>
                <w:rFonts w:hint="default" w:ascii="Times New Roman" w:hAnsi="Times New Roman" w:eastAsia="楷体" w:cs="Times New Roman"/>
                <w:b w:val="0"/>
                <w:i w:val="0"/>
                <w:strike w:val="0"/>
                <w:color w:val="000000"/>
                <w:w w:val="100"/>
                <w:sz w:val="24"/>
                <w:szCs w:val="24"/>
                <w:lang w:val="en-US" w:eastAsia="zh-CN"/>
              </w:rPr>
              <w:t>3</w:t>
            </w:r>
          </w:p>
        </w:tc>
        <w:tc>
          <w:tcPr>
            <w:tcW w:w="1667" w:type="dxa"/>
            <w:vAlign w:val="center"/>
          </w:tcPr>
          <w:p w14:paraId="376C1953">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楷体_GBK" w:cs="Times New Roman"/>
                <w:b w:val="0"/>
                <w:bCs w:val="0"/>
                <w:i w:val="0"/>
                <w:strike w:val="0"/>
                <w:color w:val="000000"/>
                <w:w w:val="100"/>
                <w:sz w:val="24"/>
                <w:szCs w:val="24"/>
                <w:lang w:val="en-US" w:eastAsia="zh-CN"/>
              </w:rPr>
            </w:pPr>
            <w:r>
              <w:rPr>
                <w:rFonts w:hint="default" w:ascii="Times New Roman" w:hAnsi="Times New Roman" w:eastAsia="方正楷体_GBK" w:cs="Times New Roman"/>
                <w:b w:val="0"/>
                <w:bCs w:val="0"/>
                <w:i w:val="0"/>
                <w:strike w:val="0"/>
                <w:color w:val="000000"/>
                <w:w w:val="100"/>
                <w:sz w:val="24"/>
                <w:szCs w:val="24"/>
                <w:lang w:val="en-US" w:eastAsia="zh-CN"/>
              </w:rPr>
              <w:t>统战部门</w:t>
            </w:r>
          </w:p>
          <w:p w14:paraId="4DFAA8EE">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楷体_GBK" w:cs="Times New Roman"/>
                <w:b w:val="0"/>
                <w:bCs w:val="0"/>
                <w:w w:val="100"/>
                <w:sz w:val="24"/>
                <w:szCs w:val="24"/>
                <w:lang w:eastAsia="zh-CN"/>
              </w:rPr>
            </w:pPr>
            <w:r>
              <w:rPr>
                <w:rFonts w:hint="default" w:ascii="Times New Roman" w:hAnsi="Times New Roman" w:eastAsia="方正楷体_GBK" w:cs="Times New Roman"/>
                <w:b w:val="0"/>
                <w:bCs w:val="0"/>
                <w:i w:val="0"/>
                <w:strike w:val="0"/>
                <w:color w:val="000000"/>
                <w:w w:val="100"/>
                <w:sz w:val="24"/>
                <w:szCs w:val="24"/>
                <w:lang w:eastAsia="zh-CN"/>
              </w:rPr>
              <w:t>（</w:t>
            </w:r>
            <w:r>
              <w:rPr>
                <w:rFonts w:hint="default" w:ascii="Times New Roman" w:hAnsi="Times New Roman" w:eastAsia="方正楷体_GBK" w:cs="Times New Roman"/>
                <w:b w:val="0"/>
                <w:bCs w:val="0"/>
                <w:i w:val="0"/>
                <w:strike w:val="0"/>
                <w:color w:val="000000"/>
                <w:w w:val="100"/>
                <w:sz w:val="24"/>
                <w:szCs w:val="24"/>
                <w:lang w:val="en-US" w:eastAsia="zh-CN"/>
              </w:rPr>
              <w:t>民宗</w:t>
            </w:r>
            <w:r>
              <w:rPr>
                <w:rFonts w:hint="default" w:ascii="Times New Roman" w:hAnsi="Times New Roman" w:eastAsia="方正楷体_GBK" w:cs="Times New Roman"/>
                <w:b w:val="0"/>
                <w:bCs w:val="0"/>
                <w:i w:val="0"/>
                <w:strike w:val="0"/>
                <w:color w:val="000000"/>
                <w:w w:val="100"/>
                <w:sz w:val="24"/>
                <w:szCs w:val="24"/>
                <w:lang w:eastAsia="zh-CN"/>
              </w:rPr>
              <w:t>）</w:t>
            </w:r>
          </w:p>
        </w:tc>
        <w:tc>
          <w:tcPr>
            <w:tcW w:w="6520" w:type="dxa"/>
            <w:vAlign w:val="center"/>
          </w:tcPr>
          <w:p w14:paraId="167FB6CA">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both"/>
              <w:textAlignment w:val="baseline"/>
              <w:rPr>
                <w:rFonts w:hint="default" w:ascii="Times New Roman" w:hAnsi="Times New Roman" w:eastAsia="方正仿宋_GBK" w:cs="Times New Roman"/>
                <w:w w:val="100"/>
                <w:sz w:val="24"/>
                <w:szCs w:val="24"/>
              </w:rPr>
            </w:pPr>
            <w:r>
              <w:rPr>
                <w:rFonts w:hint="default" w:ascii="Times New Roman" w:hAnsi="Times New Roman" w:eastAsia="方正仿宋_GBK" w:cs="Times New Roman"/>
                <w:b w:val="0"/>
                <w:i w:val="0"/>
                <w:strike w:val="0"/>
                <w:color w:val="000000"/>
                <w:w w:val="100"/>
                <w:sz w:val="24"/>
                <w:szCs w:val="24"/>
              </w:rPr>
              <w:t>依法指导、督促本行业、本系统相关单位落实高层建筑消防安全责任，组织开展有针对性的消防安全检查。</w:t>
            </w:r>
          </w:p>
        </w:tc>
      </w:tr>
      <w:tr w14:paraId="27D537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17" w:hRule="atLeast"/>
          <w:jc w:val="center"/>
        </w:trPr>
        <w:tc>
          <w:tcPr>
            <w:tcW w:w="700" w:type="dxa"/>
            <w:vAlign w:val="center"/>
          </w:tcPr>
          <w:p w14:paraId="6E0FB735">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楷体" w:cs="Times New Roman"/>
                <w:w w:val="100"/>
                <w:sz w:val="24"/>
                <w:szCs w:val="24"/>
                <w:lang w:eastAsia="zh-CN"/>
              </w:rPr>
            </w:pPr>
            <w:r>
              <w:rPr>
                <w:rFonts w:hint="default" w:ascii="Times New Roman" w:hAnsi="Times New Roman" w:eastAsia="楷体" w:cs="Times New Roman"/>
                <w:b w:val="0"/>
                <w:i w:val="0"/>
                <w:strike w:val="0"/>
                <w:color w:val="000000"/>
                <w:w w:val="100"/>
                <w:sz w:val="24"/>
                <w:szCs w:val="24"/>
                <w:lang w:val="en-US" w:eastAsia="zh-CN"/>
              </w:rPr>
              <w:t>4</w:t>
            </w:r>
          </w:p>
        </w:tc>
        <w:tc>
          <w:tcPr>
            <w:tcW w:w="1667" w:type="dxa"/>
            <w:vAlign w:val="center"/>
          </w:tcPr>
          <w:p w14:paraId="013FEC95">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楷体_GBK" w:cs="Times New Roman"/>
                <w:b w:val="0"/>
                <w:bCs w:val="0"/>
                <w:w w:val="100"/>
                <w:sz w:val="24"/>
                <w:szCs w:val="24"/>
              </w:rPr>
            </w:pPr>
            <w:r>
              <w:rPr>
                <w:rFonts w:hint="default" w:ascii="Times New Roman" w:hAnsi="Times New Roman" w:eastAsia="方正楷体_GBK" w:cs="Times New Roman"/>
                <w:b w:val="0"/>
                <w:bCs w:val="0"/>
                <w:i w:val="0"/>
                <w:strike w:val="0"/>
                <w:color w:val="000000"/>
                <w:w w:val="100"/>
                <w:sz w:val="24"/>
                <w:szCs w:val="24"/>
              </w:rPr>
              <w:t>公安部门</w:t>
            </w:r>
          </w:p>
        </w:tc>
        <w:tc>
          <w:tcPr>
            <w:tcW w:w="6520" w:type="dxa"/>
            <w:vAlign w:val="center"/>
          </w:tcPr>
          <w:p w14:paraId="000A59AB">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both"/>
              <w:textAlignment w:val="baseline"/>
              <w:rPr>
                <w:rFonts w:hint="default" w:ascii="Times New Roman" w:hAnsi="Times New Roman" w:eastAsia="方正仿宋_GBK" w:cs="Times New Roman"/>
                <w:w w:val="100"/>
                <w:sz w:val="24"/>
                <w:szCs w:val="24"/>
              </w:rPr>
            </w:pPr>
            <w:r>
              <w:rPr>
                <w:rFonts w:hint="default" w:ascii="Times New Roman" w:hAnsi="Times New Roman" w:eastAsia="方正仿宋_GBK" w:cs="Times New Roman"/>
                <w:b w:val="0"/>
                <w:i w:val="0"/>
                <w:strike w:val="0"/>
                <w:color w:val="000000"/>
                <w:w w:val="100"/>
                <w:sz w:val="24"/>
                <w:szCs w:val="24"/>
              </w:rPr>
              <w:t>公安派出所负责监管辖区内符合三级消防安全重点单位标准范围内的机关、团体、企业、事业单位，同时负责列入江苏省公安派出所日常消防监督检查范围的场所，上级有新规定的，另行调整。</w:t>
            </w:r>
          </w:p>
        </w:tc>
      </w:tr>
      <w:tr w14:paraId="56B06E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67" w:hRule="atLeast"/>
          <w:jc w:val="center"/>
        </w:trPr>
        <w:tc>
          <w:tcPr>
            <w:tcW w:w="700" w:type="dxa"/>
            <w:vAlign w:val="center"/>
          </w:tcPr>
          <w:p w14:paraId="02918FA9">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楷体" w:cs="Times New Roman"/>
                <w:w w:val="100"/>
                <w:sz w:val="24"/>
                <w:szCs w:val="24"/>
                <w:lang w:eastAsia="zh-CN"/>
              </w:rPr>
            </w:pPr>
            <w:r>
              <w:rPr>
                <w:rFonts w:hint="default" w:ascii="Times New Roman" w:hAnsi="Times New Roman" w:eastAsia="楷体" w:cs="Times New Roman"/>
                <w:b w:val="0"/>
                <w:i w:val="0"/>
                <w:strike w:val="0"/>
                <w:color w:val="000000"/>
                <w:w w:val="100"/>
                <w:sz w:val="24"/>
                <w:szCs w:val="24"/>
                <w:lang w:val="en-US" w:eastAsia="zh-CN"/>
              </w:rPr>
              <w:t>5</w:t>
            </w:r>
          </w:p>
        </w:tc>
        <w:tc>
          <w:tcPr>
            <w:tcW w:w="1667" w:type="dxa"/>
            <w:vAlign w:val="center"/>
          </w:tcPr>
          <w:p w14:paraId="2F490785">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楷体_GBK" w:cs="Times New Roman"/>
                <w:b w:val="0"/>
                <w:bCs w:val="0"/>
                <w:w w:val="100"/>
                <w:sz w:val="24"/>
                <w:szCs w:val="24"/>
              </w:rPr>
            </w:pPr>
            <w:r>
              <w:rPr>
                <w:rFonts w:hint="default" w:ascii="Times New Roman" w:hAnsi="Times New Roman" w:eastAsia="方正楷体_GBK" w:cs="Times New Roman"/>
                <w:b w:val="0"/>
                <w:bCs w:val="0"/>
                <w:i w:val="0"/>
                <w:strike w:val="0"/>
                <w:color w:val="000000"/>
                <w:w w:val="100"/>
                <w:sz w:val="24"/>
                <w:szCs w:val="24"/>
              </w:rPr>
              <w:t>民政部门</w:t>
            </w:r>
          </w:p>
        </w:tc>
        <w:tc>
          <w:tcPr>
            <w:tcW w:w="6520" w:type="dxa"/>
            <w:vAlign w:val="center"/>
          </w:tcPr>
          <w:p w14:paraId="51C70E0E">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both"/>
              <w:textAlignment w:val="baseline"/>
              <w:rPr>
                <w:rFonts w:hint="default" w:ascii="Times New Roman" w:hAnsi="Times New Roman" w:eastAsia="方正仿宋_GBK" w:cs="Times New Roman"/>
                <w:w w:val="100"/>
                <w:sz w:val="24"/>
                <w:szCs w:val="24"/>
              </w:rPr>
            </w:pPr>
            <w:r>
              <w:rPr>
                <w:rFonts w:hint="default" w:ascii="Times New Roman" w:hAnsi="Times New Roman" w:eastAsia="方正仿宋_GBK" w:cs="Times New Roman"/>
                <w:b w:val="0"/>
                <w:i w:val="0"/>
                <w:strike w:val="0"/>
                <w:color w:val="000000"/>
                <w:w w:val="100"/>
                <w:sz w:val="24"/>
                <w:szCs w:val="24"/>
              </w:rPr>
              <w:t>依法指导、督促本行业、本系统相关单位落实高层建筑消防安全责任，组织开展有针对性的消防安全检查。</w:t>
            </w:r>
          </w:p>
        </w:tc>
      </w:tr>
      <w:tr w14:paraId="6547E1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361" w:hRule="atLeast"/>
          <w:jc w:val="center"/>
        </w:trPr>
        <w:tc>
          <w:tcPr>
            <w:tcW w:w="700" w:type="dxa"/>
            <w:vAlign w:val="center"/>
          </w:tcPr>
          <w:p w14:paraId="356783BF">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楷体" w:cs="Times New Roman"/>
                <w:w w:val="100"/>
                <w:sz w:val="24"/>
                <w:szCs w:val="24"/>
                <w:lang w:eastAsia="zh-CN"/>
              </w:rPr>
            </w:pPr>
            <w:r>
              <w:rPr>
                <w:rFonts w:hint="default" w:ascii="Times New Roman" w:hAnsi="Times New Roman" w:eastAsia="楷体" w:cs="Times New Roman"/>
                <w:b w:val="0"/>
                <w:i w:val="0"/>
                <w:strike w:val="0"/>
                <w:color w:val="000000"/>
                <w:w w:val="100"/>
                <w:sz w:val="24"/>
                <w:szCs w:val="24"/>
                <w:lang w:val="en-US" w:eastAsia="zh-CN"/>
              </w:rPr>
              <w:t>6</w:t>
            </w:r>
          </w:p>
        </w:tc>
        <w:tc>
          <w:tcPr>
            <w:tcW w:w="1667" w:type="dxa"/>
            <w:vAlign w:val="center"/>
          </w:tcPr>
          <w:p w14:paraId="2585F83E">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楷体_GBK" w:cs="Times New Roman"/>
                <w:b w:val="0"/>
                <w:bCs w:val="0"/>
                <w:w w:val="100"/>
                <w:sz w:val="24"/>
                <w:szCs w:val="24"/>
              </w:rPr>
            </w:pPr>
            <w:r>
              <w:rPr>
                <w:rFonts w:hint="default" w:ascii="Times New Roman" w:hAnsi="Times New Roman" w:eastAsia="方正楷体_GBK" w:cs="Times New Roman"/>
                <w:b w:val="0"/>
                <w:bCs w:val="0"/>
                <w:i w:val="0"/>
                <w:strike w:val="0"/>
                <w:color w:val="000000"/>
                <w:w w:val="100"/>
                <w:sz w:val="24"/>
                <w:szCs w:val="24"/>
              </w:rPr>
              <w:t>自然资源部门</w:t>
            </w:r>
          </w:p>
        </w:tc>
        <w:tc>
          <w:tcPr>
            <w:tcW w:w="6520" w:type="dxa"/>
            <w:vAlign w:val="center"/>
          </w:tcPr>
          <w:p w14:paraId="06EBC7ED">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both"/>
              <w:textAlignment w:val="baseline"/>
              <w:rPr>
                <w:rFonts w:hint="default" w:ascii="Times New Roman" w:hAnsi="Times New Roman" w:eastAsia="方正仿宋_GBK" w:cs="Times New Roman"/>
                <w:w w:val="100"/>
                <w:sz w:val="24"/>
                <w:szCs w:val="24"/>
              </w:rPr>
            </w:pPr>
            <w:r>
              <w:rPr>
                <w:rFonts w:hint="default" w:ascii="Times New Roman" w:hAnsi="Times New Roman" w:eastAsia="方正仿宋_GBK" w:cs="Times New Roman"/>
                <w:b w:val="0"/>
                <w:i w:val="0"/>
                <w:strike w:val="0"/>
                <w:color w:val="000000"/>
                <w:w w:val="100"/>
                <w:sz w:val="24"/>
                <w:szCs w:val="24"/>
              </w:rPr>
              <w:t>规范开展高层建筑用地预审与选址、用地规划许可等工作，在规划方案设计审查、工程规划许可、规划核实等环节，加强对建设工程的有效管控。</w:t>
            </w:r>
          </w:p>
        </w:tc>
      </w:tr>
      <w:tr w14:paraId="24B9C8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775" w:hRule="atLeast"/>
          <w:jc w:val="center"/>
        </w:trPr>
        <w:tc>
          <w:tcPr>
            <w:tcW w:w="700" w:type="dxa"/>
            <w:vAlign w:val="center"/>
          </w:tcPr>
          <w:p w14:paraId="6F8AA0AF">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楷体" w:cs="Times New Roman"/>
                <w:w w:val="100"/>
                <w:sz w:val="24"/>
                <w:szCs w:val="24"/>
                <w:lang w:eastAsia="zh-CN"/>
              </w:rPr>
            </w:pPr>
            <w:r>
              <w:rPr>
                <w:rFonts w:hint="default" w:ascii="Times New Roman" w:hAnsi="Times New Roman" w:eastAsia="楷体" w:cs="Times New Roman"/>
                <w:b w:val="0"/>
                <w:i w:val="0"/>
                <w:strike w:val="0"/>
                <w:color w:val="000000"/>
                <w:w w:val="100"/>
                <w:sz w:val="24"/>
                <w:szCs w:val="24"/>
                <w:lang w:val="en-US" w:eastAsia="zh-CN"/>
              </w:rPr>
              <w:t>7</w:t>
            </w:r>
          </w:p>
        </w:tc>
        <w:tc>
          <w:tcPr>
            <w:tcW w:w="1667" w:type="dxa"/>
            <w:vAlign w:val="center"/>
          </w:tcPr>
          <w:p w14:paraId="2EE0C5B4">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楷体_GBK" w:cs="Times New Roman"/>
                <w:b w:val="0"/>
                <w:bCs w:val="0"/>
                <w:w w:val="100"/>
                <w:sz w:val="24"/>
                <w:szCs w:val="24"/>
              </w:rPr>
            </w:pPr>
            <w:r>
              <w:rPr>
                <w:rFonts w:hint="default" w:ascii="Times New Roman" w:hAnsi="Times New Roman" w:eastAsia="方正楷体_GBK" w:cs="Times New Roman"/>
                <w:b w:val="0"/>
                <w:bCs w:val="0"/>
                <w:i w:val="0"/>
                <w:strike w:val="0"/>
                <w:color w:val="000000"/>
                <w:w w:val="100"/>
                <w:sz w:val="24"/>
                <w:szCs w:val="24"/>
              </w:rPr>
              <w:t>住建部门</w:t>
            </w:r>
          </w:p>
        </w:tc>
        <w:tc>
          <w:tcPr>
            <w:tcW w:w="6520" w:type="dxa"/>
            <w:vAlign w:val="center"/>
          </w:tcPr>
          <w:p w14:paraId="6BA7F3B0">
            <w:pPr>
              <w:keepNext w:val="0"/>
              <w:keepLines w:val="0"/>
              <w:pageBreakBefore w:val="0"/>
              <w:widowControl w:val="0"/>
              <w:kinsoku/>
              <w:wordWrap w:val="0"/>
              <w:overflowPunct/>
              <w:topLinePunct w:val="0"/>
              <w:autoSpaceDE/>
              <w:autoSpaceDN/>
              <w:bidi w:val="0"/>
              <w:adjustRightInd/>
              <w:snapToGrid/>
              <w:spacing w:before="0" w:after="0" w:line="300" w:lineRule="exact"/>
              <w:ind w:left="20" w:right="20"/>
              <w:jc w:val="both"/>
              <w:textAlignment w:val="baseline"/>
              <w:rPr>
                <w:rFonts w:hint="default" w:ascii="Times New Roman" w:hAnsi="Times New Roman" w:eastAsia="方正仿宋_GBK" w:cs="Times New Roman"/>
                <w:w w:val="100"/>
                <w:sz w:val="24"/>
                <w:szCs w:val="24"/>
              </w:rPr>
            </w:pPr>
            <w:r>
              <w:rPr>
                <w:rFonts w:hint="default" w:ascii="Times New Roman" w:hAnsi="Times New Roman" w:eastAsia="方正仿宋_GBK" w:cs="Times New Roman"/>
                <w:b w:val="0"/>
                <w:i w:val="0"/>
                <w:strike w:val="0"/>
                <w:color w:val="000000"/>
                <w:w w:val="100"/>
                <w:sz w:val="24"/>
                <w:szCs w:val="24"/>
              </w:rPr>
              <w:t>加强对房屋建筑与市政基础设施工程勘察设计审查、施工质量安全管理、竣工验收管理，督促参建各方加强对高层建筑外保温、外墙装饰、建筑构配件等材料燃烧性能和消防设施设备的进场检验和质量管理。严格改扩建和装饰装修管理。按照法律法规和相关技术标准对高层建筑进行消防设计审查和验收</w:t>
            </w:r>
            <w:r>
              <w:rPr>
                <w:rFonts w:hint="eastAsia" w:ascii="Times New Roman" w:hAnsi="Times New Roman" w:eastAsia="方正仿宋_GBK" w:cs="Times New Roman"/>
                <w:b w:val="0"/>
                <w:i w:val="0"/>
                <w:strike w:val="0"/>
                <w:color w:val="000000"/>
                <w:w w:val="100"/>
                <w:sz w:val="24"/>
                <w:szCs w:val="24"/>
                <w:lang w:eastAsia="zh-CN"/>
              </w:rPr>
              <w:t>（</w:t>
            </w:r>
            <w:r>
              <w:rPr>
                <w:rFonts w:hint="default" w:ascii="Times New Roman" w:hAnsi="Times New Roman" w:eastAsia="方正仿宋_GBK" w:cs="Times New Roman"/>
                <w:b w:val="0"/>
                <w:i w:val="0"/>
                <w:strike w:val="0"/>
                <w:color w:val="000000"/>
                <w:w w:val="100"/>
                <w:sz w:val="24"/>
                <w:szCs w:val="24"/>
              </w:rPr>
              <w:t>备案</w:t>
            </w:r>
            <w:r>
              <w:rPr>
                <w:rFonts w:hint="eastAsia" w:ascii="Times New Roman" w:hAnsi="Times New Roman" w:eastAsia="方正仿宋_GBK" w:cs="Times New Roman"/>
                <w:b w:val="0"/>
                <w:i w:val="0"/>
                <w:strike w:val="0"/>
                <w:color w:val="000000"/>
                <w:w w:val="100"/>
                <w:sz w:val="24"/>
                <w:szCs w:val="24"/>
                <w:lang w:eastAsia="zh-CN"/>
              </w:rPr>
              <w:t>）</w:t>
            </w:r>
            <w:r>
              <w:rPr>
                <w:rFonts w:hint="default" w:ascii="Times New Roman" w:hAnsi="Times New Roman" w:eastAsia="方正仿宋_GBK" w:cs="Times New Roman"/>
                <w:b w:val="0"/>
                <w:i w:val="0"/>
                <w:strike w:val="0"/>
                <w:color w:val="000000"/>
                <w:w w:val="100"/>
                <w:sz w:val="24"/>
                <w:szCs w:val="24"/>
              </w:rPr>
              <w:t>；指导、督促物业服务企业按照物业服务合同约定，加强对高层建筑消防设施设备的日常维护和管理；督促、指导燃气企业加强对高层建筑燃气管道敷设、燃气用具使用的定期安全检查。加强对向高层建筑供水的市政管网的日常管理和维护保养，保持市政管网供水压力符合要求。</w:t>
            </w:r>
          </w:p>
          <w:p w14:paraId="1C7E36A7">
            <w:pPr>
              <w:keepNext w:val="0"/>
              <w:keepLines w:val="0"/>
              <w:pageBreakBefore w:val="0"/>
              <w:widowControl w:val="0"/>
              <w:kinsoku/>
              <w:wordWrap w:val="0"/>
              <w:overflowPunct/>
              <w:topLinePunct w:val="0"/>
              <w:autoSpaceDE/>
              <w:autoSpaceDN/>
              <w:bidi w:val="0"/>
              <w:adjustRightInd/>
              <w:snapToGrid/>
              <w:spacing w:before="0" w:after="0" w:line="300" w:lineRule="exact"/>
              <w:ind w:left="20" w:right="0"/>
              <w:jc w:val="both"/>
              <w:textAlignment w:val="baseline"/>
              <w:rPr>
                <w:rFonts w:hint="default" w:ascii="Times New Roman" w:hAnsi="Times New Roman" w:eastAsia="方正仿宋_GBK" w:cs="Times New Roman"/>
                <w:w w:val="100"/>
                <w:sz w:val="24"/>
                <w:szCs w:val="24"/>
              </w:rPr>
            </w:pPr>
            <w:r>
              <w:rPr>
                <w:rFonts w:hint="default" w:ascii="Times New Roman" w:hAnsi="Times New Roman" w:eastAsia="方正仿宋_GBK" w:cs="Times New Roman"/>
                <w:b w:val="0"/>
                <w:i w:val="0"/>
                <w:strike w:val="0"/>
                <w:color w:val="000000"/>
                <w:w w:val="100"/>
                <w:sz w:val="24"/>
                <w:szCs w:val="24"/>
              </w:rPr>
              <w:t>牵头开展消防设计审查验收突出问题专项治理。</w:t>
            </w:r>
          </w:p>
        </w:tc>
      </w:tr>
      <w:tr w14:paraId="6AA450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077" w:hRule="atLeast"/>
          <w:jc w:val="center"/>
        </w:trPr>
        <w:tc>
          <w:tcPr>
            <w:tcW w:w="700" w:type="dxa"/>
            <w:vAlign w:val="center"/>
          </w:tcPr>
          <w:p w14:paraId="5430D8F0">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8</w:t>
            </w:r>
          </w:p>
        </w:tc>
        <w:tc>
          <w:tcPr>
            <w:tcW w:w="1667" w:type="dxa"/>
            <w:vAlign w:val="center"/>
          </w:tcPr>
          <w:p w14:paraId="6516C20B">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rPr>
              <w:t>城管部门</w:t>
            </w:r>
          </w:p>
        </w:tc>
        <w:tc>
          <w:tcPr>
            <w:tcW w:w="6520" w:type="dxa"/>
            <w:vAlign w:val="center"/>
          </w:tcPr>
          <w:p w14:paraId="0156F59C">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推进执法进小区，配合自然资源部门、街道社区加强对高层建筑屋顶平台违章建</w:t>
            </w:r>
            <w:r>
              <w:rPr>
                <w:rFonts w:hint="eastAsia" w:ascii="Times New Roman" w:hAnsi="Times New Roman" w:eastAsia="方正仿宋_GBK" w:cs="Times New Roman"/>
                <w:b w:val="0"/>
                <w:i w:val="0"/>
                <w:strike w:val="0"/>
                <w:color w:val="000000"/>
                <w:w w:val="100"/>
                <w:sz w:val="24"/>
                <w:szCs w:val="24"/>
                <w:lang w:eastAsia="zh-CN"/>
              </w:rPr>
              <w:t>（</w:t>
            </w:r>
            <w:r>
              <w:rPr>
                <w:rFonts w:hint="default" w:ascii="Times New Roman" w:hAnsi="Times New Roman" w:eastAsia="方正仿宋_GBK" w:cs="Times New Roman"/>
                <w:b w:val="0"/>
                <w:i w:val="0"/>
                <w:strike w:val="0"/>
                <w:color w:val="000000"/>
                <w:w w:val="100"/>
                <w:sz w:val="24"/>
                <w:szCs w:val="24"/>
              </w:rPr>
              <w:t>构</w:t>
            </w:r>
            <w:r>
              <w:rPr>
                <w:rFonts w:hint="eastAsia" w:ascii="Times New Roman" w:hAnsi="Times New Roman" w:eastAsia="方正仿宋_GBK" w:cs="Times New Roman"/>
                <w:b w:val="0"/>
                <w:i w:val="0"/>
                <w:strike w:val="0"/>
                <w:color w:val="000000"/>
                <w:w w:val="100"/>
                <w:sz w:val="24"/>
                <w:szCs w:val="24"/>
                <w:lang w:eastAsia="zh-CN"/>
              </w:rPr>
              <w:t>）</w:t>
            </w:r>
            <w:r>
              <w:rPr>
                <w:rFonts w:hint="default" w:ascii="Times New Roman" w:hAnsi="Times New Roman" w:eastAsia="方正仿宋_GBK" w:cs="Times New Roman"/>
                <w:b w:val="0"/>
                <w:i w:val="0"/>
                <w:strike w:val="0"/>
                <w:color w:val="000000"/>
                <w:w w:val="100"/>
                <w:sz w:val="24"/>
                <w:szCs w:val="24"/>
              </w:rPr>
              <w:t>筑物、户外广告牌、电子显示屏广告设施和建筑景观亮化的监管。</w:t>
            </w:r>
          </w:p>
        </w:tc>
      </w:tr>
      <w:tr w14:paraId="7471F0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17" w:hRule="atLeast"/>
          <w:jc w:val="center"/>
        </w:trPr>
        <w:tc>
          <w:tcPr>
            <w:tcW w:w="700" w:type="dxa"/>
            <w:vAlign w:val="center"/>
          </w:tcPr>
          <w:p w14:paraId="2812015D">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9</w:t>
            </w:r>
          </w:p>
        </w:tc>
        <w:tc>
          <w:tcPr>
            <w:tcW w:w="1667" w:type="dxa"/>
            <w:vAlign w:val="center"/>
          </w:tcPr>
          <w:p w14:paraId="656BF115">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rPr>
              <w:t>交通部门</w:t>
            </w:r>
          </w:p>
        </w:tc>
        <w:tc>
          <w:tcPr>
            <w:tcW w:w="6520" w:type="dxa"/>
            <w:vAlign w:val="center"/>
          </w:tcPr>
          <w:p w14:paraId="5F4275A0">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督促交通建设工程参建各方落实主体责任，加强勘察设计审查、施工质量安全管理、竣工验收管理。依法指导、督促本行业、本系统相关单位落实高层建筑消防安全责任，组织开展有针对性的消防安全检查。</w:t>
            </w:r>
          </w:p>
        </w:tc>
      </w:tr>
      <w:tr w14:paraId="483FE7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1417" w:hRule="atLeast"/>
          <w:jc w:val="center"/>
        </w:trPr>
        <w:tc>
          <w:tcPr>
            <w:tcW w:w="700" w:type="dxa"/>
            <w:vAlign w:val="center"/>
          </w:tcPr>
          <w:p w14:paraId="05E5C25B">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10</w:t>
            </w:r>
          </w:p>
        </w:tc>
        <w:tc>
          <w:tcPr>
            <w:tcW w:w="1667" w:type="dxa"/>
            <w:vAlign w:val="center"/>
          </w:tcPr>
          <w:p w14:paraId="5E450501">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u w:val="none"/>
              </w:rPr>
              <w:t>水利部门</w:t>
            </w:r>
          </w:p>
        </w:tc>
        <w:tc>
          <w:tcPr>
            <w:tcW w:w="6520" w:type="dxa"/>
            <w:vAlign w:val="center"/>
          </w:tcPr>
          <w:p w14:paraId="14F297E5">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督促</w:t>
            </w:r>
            <w:r>
              <w:rPr>
                <w:rFonts w:hint="default" w:ascii="Times New Roman" w:hAnsi="Times New Roman" w:eastAsia="方正仿宋_GBK" w:cs="Times New Roman"/>
                <w:b w:val="0"/>
                <w:i w:val="0"/>
                <w:strike w:val="0"/>
                <w:color w:val="000000"/>
                <w:w w:val="100"/>
                <w:sz w:val="24"/>
                <w:szCs w:val="24"/>
                <w:lang w:val="en-US" w:eastAsia="zh-CN"/>
              </w:rPr>
              <w:t>水利</w:t>
            </w:r>
            <w:r>
              <w:rPr>
                <w:rFonts w:hint="default" w:ascii="Times New Roman" w:hAnsi="Times New Roman" w:eastAsia="方正仿宋_GBK" w:cs="Times New Roman"/>
                <w:b w:val="0"/>
                <w:i w:val="0"/>
                <w:strike w:val="0"/>
                <w:color w:val="000000"/>
                <w:w w:val="100"/>
                <w:sz w:val="24"/>
                <w:szCs w:val="24"/>
              </w:rPr>
              <w:t>建设工程参建各方落实主体责任，加强勘察设计审查、施工质量安全管理、竣工验收管理。依法指导、督促本行业、本系统相关单位落实高层建筑消防安全责任，组织开展有针对性的消防安全检查。</w:t>
            </w:r>
          </w:p>
        </w:tc>
      </w:tr>
      <w:tr w14:paraId="6B5B1D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atLeast"/>
          <w:jc w:val="center"/>
        </w:trPr>
        <w:tc>
          <w:tcPr>
            <w:tcW w:w="700" w:type="dxa"/>
            <w:vAlign w:val="center"/>
          </w:tcPr>
          <w:p w14:paraId="36A6974C">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11</w:t>
            </w:r>
          </w:p>
        </w:tc>
        <w:tc>
          <w:tcPr>
            <w:tcW w:w="1667" w:type="dxa"/>
            <w:vAlign w:val="center"/>
          </w:tcPr>
          <w:p w14:paraId="08B88E85">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rPr>
              <w:t>商务部门</w:t>
            </w:r>
          </w:p>
        </w:tc>
        <w:tc>
          <w:tcPr>
            <w:tcW w:w="6520" w:type="dxa"/>
            <w:vAlign w:val="center"/>
          </w:tcPr>
          <w:p w14:paraId="0381DF6C">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依法指导、督促本行业、本系统相关单位落实高层建筑消防安全责任，组织开展有针对性的消防安全检查。</w:t>
            </w:r>
          </w:p>
        </w:tc>
      </w:tr>
      <w:tr w14:paraId="73B500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atLeast"/>
          <w:jc w:val="center"/>
        </w:trPr>
        <w:tc>
          <w:tcPr>
            <w:tcW w:w="700" w:type="dxa"/>
            <w:vAlign w:val="center"/>
          </w:tcPr>
          <w:p w14:paraId="11B91BB1">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12</w:t>
            </w:r>
          </w:p>
        </w:tc>
        <w:tc>
          <w:tcPr>
            <w:tcW w:w="1667" w:type="dxa"/>
            <w:vAlign w:val="center"/>
          </w:tcPr>
          <w:p w14:paraId="72098F42">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rPr>
              <w:t>文旅部门</w:t>
            </w:r>
          </w:p>
        </w:tc>
        <w:tc>
          <w:tcPr>
            <w:tcW w:w="6520" w:type="dxa"/>
            <w:vAlign w:val="center"/>
          </w:tcPr>
          <w:p w14:paraId="0ED6342A">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依法指导、督促本行业、本系统相关单位落实高层建筑消防安全责任，组织开展有针对性的消防安全检查。</w:t>
            </w:r>
          </w:p>
        </w:tc>
      </w:tr>
      <w:tr w14:paraId="4B40B4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atLeast"/>
          <w:jc w:val="center"/>
        </w:trPr>
        <w:tc>
          <w:tcPr>
            <w:tcW w:w="700" w:type="dxa"/>
            <w:vAlign w:val="center"/>
          </w:tcPr>
          <w:p w14:paraId="172B4B8B">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13</w:t>
            </w:r>
          </w:p>
        </w:tc>
        <w:tc>
          <w:tcPr>
            <w:tcW w:w="1667" w:type="dxa"/>
            <w:vAlign w:val="center"/>
          </w:tcPr>
          <w:p w14:paraId="1AD46F21">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rPr>
              <w:t>卫健部门</w:t>
            </w:r>
          </w:p>
        </w:tc>
        <w:tc>
          <w:tcPr>
            <w:tcW w:w="6520" w:type="dxa"/>
            <w:vAlign w:val="center"/>
          </w:tcPr>
          <w:p w14:paraId="29C8E275">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依法指导、督促本行业、本系统相关单位落实高层建筑消防安全责任组织开展有针对性的消防安全检查。</w:t>
            </w:r>
          </w:p>
        </w:tc>
      </w:tr>
      <w:tr w14:paraId="51A71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850" w:hRule="atLeast"/>
          <w:jc w:val="center"/>
        </w:trPr>
        <w:tc>
          <w:tcPr>
            <w:tcW w:w="700" w:type="dxa"/>
            <w:vAlign w:val="center"/>
          </w:tcPr>
          <w:p w14:paraId="049F0EA5">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14</w:t>
            </w:r>
          </w:p>
        </w:tc>
        <w:tc>
          <w:tcPr>
            <w:tcW w:w="1667" w:type="dxa"/>
            <w:vAlign w:val="center"/>
          </w:tcPr>
          <w:p w14:paraId="6198AAAD">
            <w:pPr>
              <w:keepNext w:val="0"/>
              <w:keepLines w:val="0"/>
              <w:pageBreakBefore w:val="0"/>
              <w:widowControl w:val="0"/>
              <w:kinsoku/>
              <w:wordWrap w:val="0"/>
              <w:overflowPunct/>
              <w:topLinePunct w:val="0"/>
              <w:autoSpaceDE/>
              <w:autoSpaceDN/>
              <w:bidi w:val="0"/>
              <w:adjustRightInd/>
              <w:snapToGrid/>
              <w:spacing w:before="0" w:after="0" w:line="300" w:lineRule="exact"/>
              <w:ind w:left="0" w:right="0"/>
              <w:jc w:val="center"/>
              <w:textAlignment w:val="baseline"/>
              <w:rPr>
                <w:rFonts w:hint="default" w:ascii="Times New Roman" w:hAnsi="Times New Roman" w:eastAsia="方正楷体_GBK" w:cs="Times New Roman"/>
                <w:b w:val="0"/>
                <w:bCs w:val="0"/>
                <w:i w:val="0"/>
                <w:strike w:val="0"/>
                <w:color w:val="000000"/>
                <w:w w:val="100"/>
                <w:sz w:val="24"/>
                <w:szCs w:val="24"/>
                <w:shd w:val="clear" w:color="auto" w:fill="auto"/>
                <w:lang w:val="en-US" w:eastAsia="zh-CN"/>
              </w:rPr>
            </w:pPr>
            <w:r>
              <w:rPr>
                <w:rFonts w:hint="default" w:ascii="Times New Roman" w:hAnsi="Times New Roman" w:eastAsia="方正楷体_GBK" w:cs="Times New Roman"/>
                <w:b w:val="0"/>
                <w:bCs w:val="0"/>
                <w:i w:val="0"/>
                <w:strike w:val="0"/>
                <w:color w:val="000000"/>
                <w:w w:val="100"/>
                <w:sz w:val="24"/>
                <w:szCs w:val="24"/>
                <w:shd w:val="clear" w:color="auto" w:fill="auto"/>
                <w:lang w:val="en-US" w:eastAsia="zh-CN"/>
              </w:rPr>
              <w:t>财政部门</w:t>
            </w:r>
          </w:p>
          <w:p w14:paraId="692678E6">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shd w:val="clear" w:color="auto" w:fill="auto"/>
                <w:lang w:val="en-US" w:eastAsia="zh-CN"/>
              </w:rPr>
              <w:t>（</w:t>
            </w:r>
            <w:r>
              <w:rPr>
                <w:rFonts w:hint="default" w:ascii="Times New Roman" w:hAnsi="Times New Roman" w:eastAsia="方正楷体_GBK" w:cs="Times New Roman"/>
                <w:b w:val="0"/>
                <w:bCs w:val="0"/>
                <w:i w:val="0"/>
                <w:strike w:val="0"/>
                <w:color w:val="000000"/>
                <w:w w:val="100"/>
                <w:sz w:val="24"/>
                <w:szCs w:val="24"/>
                <w:shd w:val="clear" w:color="auto" w:fill="auto"/>
              </w:rPr>
              <w:t>国资</w:t>
            </w:r>
            <w:r>
              <w:rPr>
                <w:rFonts w:hint="default" w:ascii="Times New Roman" w:hAnsi="Times New Roman" w:eastAsia="方正楷体_GBK" w:cs="Times New Roman"/>
                <w:b w:val="0"/>
                <w:bCs w:val="0"/>
                <w:i w:val="0"/>
                <w:strike w:val="0"/>
                <w:color w:val="000000"/>
                <w:w w:val="100"/>
                <w:sz w:val="24"/>
                <w:szCs w:val="24"/>
                <w:shd w:val="clear" w:color="auto" w:fill="auto"/>
                <w:lang w:val="en-US" w:eastAsia="zh-CN"/>
              </w:rPr>
              <w:t>办）</w:t>
            </w:r>
          </w:p>
        </w:tc>
        <w:tc>
          <w:tcPr>
            <w:tcW w:w="6520" w:type="dxa"/>
            <w:vAlign w:val="center"/>
          </w:tcPr>
          <w:p w14:paraId="64CAEB0F">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依法指导、督促本行业、本系统相关单位落实高层建筑消防安全责任，组织开展有针对性的消防安全检查。</w:t>
            </w:r>
          </w:p>
        </w:tc>
      </w:tr>
      <w:tr w14:paraId="1AA60F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jc w:val="center"/>
        </w:trPr>
        <w:tc>
          <w:tcPr>
            <w:tcW w:w="700" w:type="dxa"/>
            <w:vAlign w:val="center"/>
          </w:tcPr>
          <w:p w14:paraId="4D648626">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15</w:t>
            </w:r>
          </w:p>
        </w:tc>
        <w:tc>
          <w:tcPr>
            <w:tcW w:w="1667" w:type="dxa"/>
            <w:vAlign w:val="center"/>
          </w:tcPr>
          <w:p w14:paraId="36038B86">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rPr>
              <w:t>数据部门</w:t>
            </w:r>
          </w:p>
        </w:tc>
        <w:tc>
          <w:tcPr>
            <w:tcW w:w="6520" w:type="dxa"/>
            <w:vAlign w:val="center"/>
          </w:tcPr>
          <w:p w14:paraId="5532A72A">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落实政府投资有关规定，加强对建设超高层建筑的审批。</w:t>
            </w:r>
          </w:p>
        </w:tc>
      </w:tr>
      <w:tr w14:paraId="509B4A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94" w:hRule="atLeast"/>
          <w:jc w:val="center"/>
        </w:trPr>
        <w:tc>
          <w:tcPr>
            <w:tcW w:w="700" w:type="dxa"/>
            <w:vAlign w:val="center"/>
          </w:tcPr>
          <w:p w14:paraId="7CD4C2A0">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16</w:t>
            </w:r>
          </w:p>
        </w:tc>
        <w:tc>
          <w:tcPr>
            <w:tcW w:w="1667" w:type="dxa"/>
            <w:vAlign w:val="center"/>
          </w:tcPr>
          <w:p w14:paraId="3DBB3A2B">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rPr>
              <w:t>市场监管部门</w:t>
            </w:r>
          </w:p>
        </w:tc>
        <w:tc>
          <w:tcPr>
            <w:tcW w:w="6520" w:type="dxa"/>
            <w:vAlign w:val="center"/>
          </w:tcPr>
          <w:p w14:paraId="3DAC5A19">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加强对高层建筑消防产品、电器产品生产和流通领域的产品质量监管，加强对高层建筑使用电梯的安全监管。</w:t>
            </w:r>
          </w:p>
        </w:tc>
      </w:tr>
      <w:tr w14:paraId="7334E2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794" w:hRule="atLeast"/>
          <w:jc w:val="center"/>
        </w:trPr>
        <w:tc>
          <w:tcPr>
            <w:tcW w:w="700" w:type="dxa"/>
            <w:vAlign w:val="center"/>
          </w:tcPr>
          <w:p w14:paraId="0E168EC3">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17</w:t>
            </w:r>
          </w:p>
        </w:tc>
        <w:tc>
          <w:tcPr>
            <w:tcW w:w="1667" w:type="dxa"/>
            <w:vAlign w:val="center"/>
          </w:tcPr>
          <w:p w14:paraId="01560B36">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i w:val="0"/>
                <w:strike w:val="0"/>
                <w:color w:val="000000"/>
                <w:w w:val="100"/>
                <w:sz w:val="24"/>
                <w:szCs w:val="24"/>
              </w:rPr>
            </w:pPr>
            <w:r>
              <w:rPr>
                <w:rFonts w:hint="default" w:ascii="Times New Roman" w:hAnsi="Times New Roman" w:eastAsia="方正楷体_GBK" w:cs="Times New Roman"/>
                <w:b w:val="0"/>
                <w:bCs w:val="0"/>
                <w:i w:val="0"/>
                <w:strike w:val="0"/>
                <w:color w:val="000000"/>
                <w:w w:val="100"/>
                <w:sz w:val="24"/>
                <w:szCs w:val="24"/>
              </w:rPr>
              <w:t>机关事务</w:t>
            </w:r>
          </w:p>
          <w:p w14:paraId="55C94453">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rPr>
              <w:t>管理部门</w:t>
            </w:r>
          </w:p>
        </w:tc>
        <w:tc>
          <w:tcPr>
            <w:tcW w:w="6520" w:type="dxa"/>
            <w:vAlign w:val="center"/>
          </w:tcPr>
          <w:p w14:paraId="60E36D0E">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依法指导、督促本系统相关单位落实高层建筑消防安全责任，组织开展有针对性的消防安全检查。</w:t>
            </w:r>
          </w:p>
        </w:tc>
      </w:tr>
      <w:tr w14:paraId="0A6716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154" w:hRule="atLeast"/>
          <w:jc w:val="center"/>
        </w:trPr>
        <w:tc>
          <w:tcPr>
            <w:tcW w:w="700" w:type="dxa"/>
            <w:vAlign w:val="center"/>
          </w:tcPr>
          <w:p w14:paraId="17309D4C">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18</w:t>
            </w:r>
          </w:p>
        </w:tc>
        <w:tc>
          <w:tcPr>
            <w:tcW w:w="1667" w:type="dxa"/>
            <w:vAlign w:val="center"/>
          </w:tcPr>
          <w:p w14:paraId="1924C1F2">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rPr>
              <w:t>消防救援部门</w:t>
            </w:r>
          </w:p>
        </w:tc>
        <w:tc>
          <w:tcPr>
            <w:tcW w:w="6520" w:type="dxa"/>
            <w:vAlign w:val="center"/>
          </w:tcPr>
          <w:p w14:paraId="5126CDE9">
            <w:pPr>
              <w:keepNext w:val="0"/>
              <w:keepLines w:val="0"/>
              <w:pageBreakBefore w:val="0"/>
              <w:widowControl w:val="0"/>
              <w:kinsoku/>
              <w:wordWrap w:val="0"/>
              <w:overflowPunct/>
              <w:topLinePunct w:val="0"/>
              <w:autoSpaceDE/>
              <w:autoSpaceDN/>
              <w:bidi w:val="0"/>
              <w:adjustRightInd/>
              <w:snapToGrid/>
              <w:spacing w:before="0" w:after="0" w:line="300" w:lineRule="exact"/>
              <w:ind w:left="20" w:right="20"/>
              <w:jc w:val="both"/>
              <w:textAlignment w:val="baseline"/>
              <w:rPr>
                <w:rFonts w:hint="default" w:ascii="Times New Roman" w:hAnsi="Times New Roman" w:eastAsia="方正仿宋_GBK" w:cs="Times New Roman"/>
                <w:b w:val="0"/>
                <w:i w:val="0"/>
                <w:strike w:val="0"/>
                <w:color w:val="000000"/>
                <w:w w:val="100"/>
                <w:sz w:val="24"/>
                <w:szCs w:val="24"/>
              </w:rPr>
            </w:pPr>
            <w:r>
              <w:rPr>
                <w:rFonts w:hint="default" w:ascii="Times New Roman" w:hAnsi="Times New Roman" w:eastAsia="方正仿宋_GBK" w:cs="Times New Roman"/>
                <w:b w:val="0"/>
                <w:i w:val="0"/>
                <w:strike w:val="0"/>
                <w:color w:val="000000"/>
                <w:w w:val="100"/>
                <w:sz w:val="24"/>
                <w:szCs w:val="24"/>
              </w:rPr>
              <w:t>加强高层建筑灭火救援力量建设，加大高层建筑消防安全法律、法规的宣传力度。加强对公共消防用水设施的监督，负责监管辖区内符合一、二级消防安全重点单位标准范围内的机关、团体、企业、事业单位。</w:t>
            </w:r>
          </w:p>
          <w:p w14:paraId="0272198D">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rPr>
              <w:t>牵头开展高层建筑消防安全排查整治，督促消防安全隐患整改到位。</w:t>
            </w:r>
          </w:p>
        </w:tc>
      </w:tr>
      <w:tr w14:paraId="2F1007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680" w:hRule="atLeast"/>
          <w:jc w:val="center"/>
        </w:trPr>
        <w:tc>
          <w:tcPr>
            <w:tcW w:w="700" w:type="dxa"/>
            <w:vAlign w:val="center"/>
          </w:tcPr>
          <w:p w14:paraId="6DC73D8A">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楷体" w:cs="Times New Roman"/>
                <w:b w:val="0"/>
                <w:i w:val="0"/>
                <w:strike w:val="0"/>
                <w:color w:val="000000"/>
                <w:w w:val="100"/>
                <w:kern w:val="2"/>
                <w:sz w:val="24"/>
                <w:szCs w:val="24"/>
                <w:lang w:val="en-US" w:eastAsia="zh-CN" w:bidi="ar-SA"/>
              </w:rPr>
            </w:pPr>
            <w:r>
              <w:rPr>
                <w:rFonts w:hint="default" w:ascii="Times New Roman" w:hAnsi="Times New Roman" w:eastAsia="楷体" w:cs="Times New Roman"/>
                <w:b w:val="0"/>
                <w:i w:val="0"/>
                <w:strike w:val="0"/>
                <w:color w:val="000000"/>
                <w:w w:val="100"/>
                <w:sz w:val="24"/>
                <w:szCs w:val="24"/>
                <w:lang w:val="en-US" w:eastAsia="zh-CN"/>
              </w:rPr>
              <w:t>19</w:t>
            </w:r>
          </w:p>
        </w:tc>
        <w:tc>
          <w:tcPr>
            <w:tcW w:w="1667" w:type="dxa"/>
            <w:vAlign w:val="center"/>
          </w:tcPr>
          <w:p w14:paraId="0F4B4FA9">
            <w:pPr>
              <w:keepNext w:val="0"/>
              <w:keepLines w:val="0"/>
              <w:pageBreakBefore w:val="0"/>
              <w:widowControl w:val="0"/>
              <w:kinsoku/>
              <w:wordWrap w:val="0"/>
              <w:overflowPunct/>
              <w:topLinePunct w:val="0"/>
              <w:autoSpaceDE/>
              <w:autoSpaceDN/>
              <w:bidi w:val="0"/>
              <w:adjustRightInd/>
              <w:snapToGrid/>
              <w:spacing w:before="0" w:after="0" w:line="300" w:lineRule="exact"/>
              <w:ind w:left="0" w:leftChars="0" w:right="0" w:rightChars="0"/>
              <w:jc w:val="center"/>
              <w:textAlignment w:val="baseline"/>
              <w:rPr>
                <w:rFonts w:hint="default" w:ascii="Times New Roman" w:hAnsi="Times New Roman" w:eastAsia="方正楷体_GBK" w:cs="Times New Roman"/>
                <w:b w:val="0"/>
                <w:bCs w:val="0"/>
                <w:i w:val="0"/>
                <w:strike w:val="0"/>
                <w:color w:val="000000"/>
                <w:w w:val="100"/>
                <w:kern w:val="2"/>
                <w:sz w:val="24"/>
                <w:szCs w:val="24"/>
                <w:lang w:val="en-US" w:eastAsia="zh-CN" w:bidi="ar-SA"/>
              </w:rPr>
            </w:pPr>
            <w:r>
              <w:rPr>
                <w:rFonts w:hint="default" w:ascii="Times New Roman" w:hAnsi="Times New Roman" w:eastAsia="方正楷体_GBK" w:cs="Times New Roman"/>
                <w:b w:val="0"/>
                <w:bCs w:val="0"/>
                <w:i w:val="0"/>
                <w:strike w:val="0"/>
                <w:color w:val="000000"/>
                <w:w w:val="100"/>
                <w:sz w:val="24"/>
                <w:szCs w:val="24"/>
                <w:lang w:val="en-US" w:eastAsia="zh-CN"/>
              </w:rPr>
              <w:t>供电公司</w:t>
            </w:r>
          </w:p>
        </w:tc>
        <w:tc>
          <w:tcPr>
            <w:tcW w:w="6520" w:type="dxa"/>
            <w:vAlign w:val="center"/>
          </w:tcPr>
          <w:p w14:paraId="0E248E8C">
            <w:pPr>
              <w:keepNext w:val="0"/>
              <w:keepLines w:val="0"/>
              <w:pageBreakBefore w:val="0"/>
              <w:widowControl w:val="0"/>
              <w:kinsoku/>
              <w:wordWrap w:val="0"/>
              <w:overflowPunct/>
              <w:topLinePunct w:val="0"/>
              <w:autoSpaceDE/>
              <w:autoSpaceDN/>
              <w:bidi w:val="0"/>
              <w:adjustRightInd/>
              <w:snapToGrid/>
              <w:spacing w:before="0" w:after="0" w:line="300" w:lineRule="exact"/>
              <w:ind w:left="20" w:leftChars="0" w:right="20" w:rightChars="0"/>
              <w:jc w:val="both"/>
              <w:textAlignment w:val="baseline"/>
              <w:rPr>
                <w:rFonts w:hint="default" w:ascii="Times New Roman" w:hAnsi="Times New Roman" w:eastAsia="方正仿宋_GBK" w:cs="Times New Roman"/>
                <w:b w:val="0"/>
                <w:i w:val="0"/>
                <w:strike w:val="0"/>
                <w:color w:val="000000"/>
                <w:w w:val="100"/>
                <w:kern w:val="2"/>
                <w:sz w:val="24"/>
                <w:szCs w:val="24"/>
                <w:lang w:val="en-US" w:eastAsia="zh-CN" w:bidi="ar-SA"/>
              </w:rPr>
            </w:pPr>
            <w:r>
              <w:rPr>
                <w:rFonts w:hint="default" w:ascii="Times New Roman" w:hAnsi="Times New Roman" w:eastAsia="方正仿宋_GBK" w:cs="Times New Roman"/>
                <w:b w:val="0"/>
                <w:i w:val="0"/>
                <w:strike w:val="0"/>
                <w:color w:val="000000"/>
                <w:w w:val="100"/>
                <w:sz w:val="24"/>
                <w:szCs w:val="24"/>
                <w:lang w:val="en-US" w:eastAsia="zh-CN"/>
              </w:rPr>
              <w:t>加强高层建筑共用配电设施安全检查。</w:t>
            </w:r>
          </w:p>
        </w:tc>
      </w:tr>
    </w:tbl>
    <w:p w14:paraId="2DD02C07">
      <w:pPr>
        <w:pStyle w:val="2"/>
        <w:rPr>
          <w:rFonts w:hint="eastAsia" w:ascii="Times New Roman" w:hAnsi="Times New Roman" w:eastAsia="方正仿宋_GBK" w:cs="方正仿宋_GBK"/>
          <w:sz w:val="32"/>
          <w:szCs w:val="32"/>
        </w:rPr>
      </w:pPr>
    </w:p>
    <w:p w14:paraId="3BA71276">
      <w:pPr>
        <w:pStyle w:val="2"/>
        <w:rPr>
          <w:rFonts w:hint="eastAsia" w:ascii="Times New Roman" w:hAnsi="Times New Roman" w:eastAsia="方正仿宋_GBK" w:cs="方正仿宋_GBK"/>
          <w:sz w:val="32"/>
          <w:szCs w:val="32"/>
        </w:rPr>
      </w:pPr>
    </w:p>
    <w:p w14:paraId="1B3AE451">
      <w:pPr>
        <w:pStyle w:val="2"/>
        <w:rPr>
          <w:rFonts w:hint="eastAsia" w:ascii="Times New Roman" w:hAnsi="Times New Roman" w:eastAsia="方正仿宋_GBK" w:cs="方正仿宋_GBK"/>
          <w:sz w:val="32"/>
          <w:szCs w:val="32"/>
        </w:rPr>
      </w:pPr>
    </w:p>
    <w:p w14:paraId="30461E77">
      <w:pPr>
        <w:pStyle w:val="2"/>
        <w:rPr>
          <w:rFonts w:hint="eastAsia" w:ascii="Times New Roman" w:hAnsi="Times New Roman" w:eastAsia="方正仿宋_GBK" w:cs="方正仿宋_GBK"/>
          <w:sz w:val="32"/>
          <w:szCs w:val="32"/>
        </w:rPr>
      </w:pPr>
    </w:p>
    <w:p w14:paraId="5F098143">
      <w:pPr>
        <w:pStyle w:val="2"/>
        <w:rPr>
          <w:rFonts w:hint="eastAsia" w:ascii="Times New Roman" w:hAnsi="Times New Roman" w:eastAsia="方正仿宋_GBK" w:cs="方正仿宋_GBK"/>
          <w:sz w:val="32"/>
          <w:szCs w:val="32"/>
        </w:rPr>
      </w:pPr>
    </w:p>
    <w:p w14:paraId="723B9813">
      <w:pPr>
        <w:pStyle w:val="2"/>
        <w:rPr>
          <w:rFonts w:hint="eastAsia" w:ascii="Times New Roman" w:hAnsi="Times New Roman" w:eastAsia="方正仿宋_GBK" w:cs="方正仿宋_GBK"/>
          <w:sz w:val="32"/>
          <w:szCs w:val="32"/>
        </w:rPr>
      </w:pPr>
    </w:p>
    <w:p w14:paraId="206608B1">
      <w:pPr>
        <w:pStyle w:val="2"/>
        <w:rPr>
          <w:rFonts w:hint="eastAsia" w:ascii="Times New Roman" w:hAnsi="Times New Roman" w:eastAsia="方正仿宋_GBK" w:cs="方正仿宋_GBK"/>
          <w:sz w:val="32"/>
          <w:szCs w:val="32"/>
        </w:rPr>
      </w:pPr>
    </w:p>
    <w:p w14:paraId="1F954D4D">
      <w:pPr>
        <w:pStyle w:val="2"/>
        <w:rPr>
          <w:rFonts w:hint="eastAsia" w:ascii="Times New Roman" w:hAnsi="Times New Roman" w:eastAsia="方正仿宋_GBK" w:cs="方正仿宋_GBK"/>
          <w:sz w:val="32"/>
          <w:szCs w:val="32"/>
        </w:rPr>
      </w:pPr>
    </w:p>
    <w:p w14:paraId="61E3944F">
      <w:pPr>
        <w:pStyle w:val="2"/>
        <w:rPr>
          <w:rFonts w:hint="eastAsia" w:ascii="Times New Roman" w:hAnsi="Times New Roman" w:eastAsia="方正仿宋_GBK" w:cs="方正仿宋_GBK"/>
          <w:sz w:val="32"/>
          <w:szCs w:val="32"/>
        </w:rPr>
      </w:pPr>
    </w:p>
    <w:p w14:paraId="7E0D2388">
      <w:pPr>
        <w:pStyle w:val="2"/>
        <w:rPr>
          <w:rFonts w:hint="eastAsia" w:ascii="Times New Roman" w:hAnsi="Times New Roman" w:eastAsia="方正仿宋_GBK" w:cs="方正仿宋_GBK"/>
          <w:sz w:val="32"/>
          <w:szCs w:val="32"/>
        </w:rPr>
      </w:pPr>
    </w:p>
    <w:p w14:paraId="2CFBBFD7">
      <w:pPr>
        <w:pStyle w:val="2"/>
        <w:rPr>
          <w:rFonts w:hint="eastAsia" w:ascii="Times New Roman" w:hAnsi="Times New Roman" w:eastAsia="方正仿宋_GBK" w:cs="方正仿宋_GBK"/>
          <w:sz w:val="32"/>
          <w:szCs w:val="32"/>
        </w:rPr>
      </w:pPr>
    </w:p>
    <w:p w14:paraId="0A12A32C">
      <w:pPr>
        <w:pStyle w:val="2"/>
        <w:rPr>
          <w:rFonts w:hint="eastAsia" w:ascii="Times New Roman" w:hAnsi="Times New Roman" w:eastAsia="方正仿宋_GBK" w:cs="方正仿宋_GBK"/>
          <w:sz w:val="32"/>
          <w:szCs w:val="32"/>
        </w:rPr>
      </w:pPr>
    </w:p>
    <w:p w14:paraId="11DB8885">
      <w:pPr>
        <w:pStyle w:val="2"/>
        <w:rPr>
          <w:rFonts w:hint="eastAsia" w:ascii="Times New Roman" w:hAnsi="Times New Roman" w:eastAsia="方正仿宋_GBK" w:cs="方正仿宋_GBK"/>
          <w:sz w:val="32"/>
          <w:szCs w:val="32"/>
        </w:rPr>
      </w:pPr>
    </w:p>
    <w:p w14:paraId="4D401B12">
      <w:pPr>
        <w:pStyle w:val="2"/>
        <w:rPr>
          <w:rFonts w:hint="eastAsia" w:ascii="Times New Roman" w:hAnsi="Times New Roman" w:eastAsia="方正仿宋_GBK" w:cs="方正仿宋_GBK"/>
          <w:sz w:val="32"/>
          <w:szCs w:val="32"/>
        </w:rPr>
      </w:pPr>
    </w:p>
    <w:p w14:paraId="57486EF0">
      <w:pPr>
        <w:pStyle w:val="2"/>
        <w:rPr>
          <w:rFonts w:hint="eastAsia" w:ascii="Times New Roman" w:hAnsi="Times New Roman" w:eastAsia="方正仿宋_GBK" w:cs="方正仿宋_GBK"/>
          <w:sz w:val="32"/>
          <w:szCs w:val="32"/>
        </w:rPr>
      </w:pPr>
    </w:p>
    <w:p w14:paraId="5C3A7EED">
      <w:pPr>
        <w:pStyle w:val="2"/>
        <w:rPr>
          <w:rFonts w:hint="eastAsia" w:ascii="Times New Roman" w:hAnsi="Times New Roman" w:eastAsia="方正仿宋_GBK" w:cs="方正仿宋_GBK"/>
          <w:sz w:val="32"/>
          <w:szCs w:val="32"/>
        </w:rPr>
      </w:pPr>
    </w:p>
    <w:p w14:paraId="1384BCEC">
      <w:pPr>
        <w:pStyle w:val="2"/>
        <w:rPr>
          <w:rFonts w:hint="eastAsia" w:ascii="Times New Roman" w:hAnsi="Times New Roman" w:eastAsia="方正仿宋_GBK" w:cs="方正仿宋_GBK"/>
          <w:sz w:val="32"/>
          <w:szCs w:val="32"/>
        </w:rPr>
      </w:pPr>
    </w:p>
    <w:p w14:paraId="5B7B741C">
      <w:pPr>
        <w:pStyle w:val="2"/>
        <w:rPr>
          <w:rFonts w:hint="eastAsia" w:ascii="Times New Roman" w:hAnsi="Times New Roman" w:eastAsia="方正仿宋_GBK" w:cs="方正仿宋_GBK"/>
          <w:sz w:val="32"/>
          <w:szCs w:val="32"/>
        </w:rPr>
      </w:pPr>
    </w:p>
    <w:p w14:paraId="59EE0382">
      <w:pPr>
        <w:pStyle w:val="2"/>
        <w:rPr>
          <w:rFonts w:hint="eastAsia" w:ascii="Times New Roman" w:hAnsi="Times New Roman" w:eastAsia="方正仿宋_GBK" w:cs="方正仿宋_GBK"/>
          <w:sz w:val="32"/>
          <w:szCs w:val="32"/>
        </w:rPr>
      </w:pPr>
    </w:p>
    <w:p w14:paraId="251F4075">
      <w:pPr>
        <w:rPr>
          <w:rFonts w:hint="eastAsia"/>
        </w:rPr>
      </w:pPr>
    </w:p>
    <w:p w14:paraId="4F057172">
      <w:pPr>
        <w:rPr>
          <w:rFonts w:hint="eastAsia"/>
        </w:rPr>
      </w:pPr>
    </w:p>
    <w:p w14:paraId="1ABAC4E7">
      <w:pPr>
        <w:keepNext w:val="0"/>
        <w:keepLines w:val="0"/>
        <w:pageBreakBefore w:val="0"/>
        <w:widowControl w:val="0"/>
        <w:kinsoku/>
        <w:wordWrap/>
        <w:overflowPunct w:val="0"/>
        <w:topLinePunct w:val="0"/>
        <w:autoSpaceDE/>
        <w:autoSpaceDN/>
        <w:bidi w:val="0"/>
        <w:adjustRightInd/>
        <w:snapToGrid/>
        <w:spacing w:line="560" w:lineRule="exact"/>
        <w:ind w:left="0" w:leftChars="0" w:right="0" w:rightChars="0" w:firstLine="0" w:firstLineChars="0"/>
        <w:jc w:val="center"/>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393065</wp:posOffset>
                </wp:positionV>
                <wp:extent cx="56007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0.95pt;height:0pt;width:441pt;z-index:251661312;mso-width-relative:page;mso-height-relative:page;" filled="f" stroked="t" coordsize="21600,21600" o:gfxdata="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WCwjTAAAABgEAAA8AAAAAAAAAAQAgAAAAIgAAAGRycy9kb3ducmV2LnhtbFBLAQIUABQA&#10;AAAIAIdO4kDFs7CT9QEAAOQDAAAOAAAAAAAAAAEAIAAAACIBAABkcnMvZTJvRG9jLnhtbFBLBQYA&#10;AAAABgAGAFkBAACJBQAAAAA=&#10;">
                <v:fill on="f" focussize="0,0"/>
                <v:stroke color="#000000" joinstyle="round"/>
                <v:imagedata o:title=""/>
                <o:lock v:ext="edit" aspectratio="f"/>
              </v:line>
            </w:pict>
          </mc:Fallback>
        </mc:AlternateContent>
      </w:r>
      <w:r>
        <w:rPr>
          <w:rFonts w:hint="eastAsia" w:ascii="Times New Roman" w:hAnsi="Times New Roman" w:eastAsia="方正仿宋_GBK" w:cs="方正仿宋_GBK"/>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25400</wp:posOffset>
                </wp:positionV>
                <wp:extent cx="56007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pt;height:0pt;width:441pt;z-index:251660288;mso-width-relative:page;mso-height-relative:page;" filled="f" stroked="t" coordsize="21600,21600" o:gfxdata="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r2iGw9IAAAAEAQAADwAAAAAAAAABACAAAAAiAAAAZHJzL2Rvd25yZXYueG1sUEsBAhQAFAAA&#10;AAgAh07iQPOk/Er1AQAA5AMAAA4AAAAAAAAAAQAgAAAAIQEAAGRycy9lMm9Eb2MueG1sUEsFBgAA&#10;AAAGAAYAWQEAAIgFAAAAAA==&#10;">
                <v:fill on="f" focussize="0,0"/>
                <v:stroke color="#000000" joinstyle="round"/>
                <v:imagedata o:title=""/>
                <o:lock v:ext="edit" aspectratio="f"/>
              </v:line>
            </w:pict>
          </mc:Fallback>
        </mc:AlternateContent>
      </w:r>
      <w:r>
        <w:rPr>
          <w:rFonts w:hint="eastAsia" w:ascii="Times New Roman" w:hAnsi="Times New Roman" w:eastAsia="方正仿宋_GBK" w:cs="方正仿宋_GBK"/>
          <w:color w:val="000000"/>
          <w:sz w:val="28"/>
          <w:szCs w:val="28"/>
        </w:rPr>
        <w:t>滨海县</w:t>
      </w:r>
      <w:r>
        <w:rPr>
          <w:rFonts w:hint="eastAsia" w:ascii="Times New Roman" w:hAnsi="Times New Roman" w:eastAsia="方正仿宋_GBK" w:cs="方正仿宋_GBK"/>
          <w:color w:val="000000"/>
          <w:sz w:val="28"/>
          <w:szCs w:val="28"/>
          <w:lang w:eastAsia="zh-CN"/>
        </w:rPr>
        <w:t>人民政府</w:t>
      </w:r>
      <w:r>
        <w:rPr>
          <w:rFonts w:hint="eastAsia" w:ascii="Times New Roman" w:hAnsi="Times New Roman" w:eastAsia="方正仿宋_GBK" w:cs="方正仿宋_GBK"/>
          <w:color w:val="000000"/>
          <w:sz w:val="28"/>
          <w:szCs w:val="28"/>
        </w:rPr>
        <w:t>办公室                    20</w:t>
      </w:r>
      <w:r>
        <w:rPr>
          <w:rFonts w:hint="eastAsia" w:ascii="Times New Roman" w:hAnsi="Times New Roman" w:eastAsia="方正仿宋_GBK" w:cs="方正仿宋_GBK"/>
          <w:color w:val="000000"/>
          <w:sz w:val="28"/>
          <w:szCs w:val="28"/>
          <w:lang w:val="en-US" w:eastAsia="zh-CN"/>
        </w:rPr>
        <w:t>24</w:t>
      </w:r>
      <w:r>
        <w:rPr>
          <w:rFonts w:hint="eastAsia" w:ascii="Times New Roman" w:hAnsi="Times New Roman" w:eastAsia="方正仿宋_GBK" w:cs="方正仿宋_GBK"/>
          <w:color w:val="000000"/>
          <w:sz w:val="28"/>
          <w:szCs w:val="28"/>
        </w:rPr>
        <w:t>年</w:t>
      </w:r>
      <w:r>
        <w:rPr>
          <w:rFonts w:hint="eastAsia" w:ascii="Times New Roman" w:hAnsi="Times New Roman" w:eastAsia="方正仿宋_GBK" w:cs="方正仿宋_GBK"/>
          <w:color w:val="000000"/>
          <w:sz w:val="28"/>
          <w:szCs w:val="28"/>
          <w:lang w:val="en-US" w:eastAsia="zh-CN"/>
        </w:rPr>
        <w:t>8</w:t>
      </w:r>
      <w:r>
        <w:rPr>
          <w:rFonts w:hint="eastAsia" w:ascii="Times New Roman" w:hAnsi="Times New Roman" w:eastAsia="方正仿宋_GBK" w:cs="方正仿宋_GBK"/>
          <w:color w:val="000000"/>
          <w:sz w:val="28"/>
          <w:szCs w:val="28"/>
        </w:rPr>
        <w:t>月</w:t>
      </w:r>
      <w:r>
        <w:rPr>
          <w:rFonts w:hint="eastAsia" w:ascii="Times New Roman" w:hAnsi="Times New Roman" w:eastAsia="方正仿宋_GBK" w:cs="方正仿宋_GBK"/>
          <w:color w:val="000000"/>
          <w:sz w:val="28"/>
          <w:szCs w:val="28"/>
          <w:lang w:val="en-US" w:eastAsia="zh-CN"/>
        </w:rPr>
        <w:t xml:space="preserve">  </w:t>
      </w:r>
      <w:r>
        <w:rPr>
          <w:rFonts w:hint="eastAsia" w:ascii="Times New Roman" w:hAnsi="Times New Roman" w:eastAsia="方正仿宋_GBK" w:cs="方正仿宋_GBK"/>
          <w:color w:val="000000"/>
          <w:sz w:val="28"/>
          <w:szCs w:val="28"/>
        </w:rPr>
        <w:t>日印发</w:t>
      </w:r>
    </w:p>
    <w:sectPr>
      <w:footerReference r:id="rId3" w:type="default"/>
      <w:pgSz w:w="11906" w:h="16838"/>
      <w:pgMar w:top="1984" w:right="1531"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35B3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D0540">
                          <w:pPr>
                            <w:pStyle w:val="4"/>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9AD0540">
                    <w:pPr>
                      <w:pStyle w:val="4"/>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iODZiNDY1Yjg4NjMzMWZjMWU2N2VhMmM5OTAxZjcifQ=="/>
  </w:docVars>
  <w:rsids>
    <w:rsidRoot w:val="0B111B86"/>
    <w:rsid w:val="01FA65B1"/>
    <w:rsid w:val="032F2286"/>
    <w:rsid w:val="047D5273"/>
    <w:rsid w:val="05412FEB"/>
    <w:rsid w:val="059B00A7"/>
    <w:rsid w:val="07707311"/>
    <w:rsid w:val="0B111B86"/>
    <w:rsid w:val="0EEA5BFB"/>
    <w:rsid w:val="15205ED3"/>
    <w:rsid w:val="16A82624"/>
    <w:rsid w:val="17D82A95"/>
    <w:rsid w:val="1A146162"/>
    <w:rsid w:val="1B0911B7"/>
    <w:rsid w:val="1CEE68B6"/>
    <w:rsid w:val="1D291FE4"/>
    <w:rsid w:val="1E6C03DB"/>
    <w:rsid w:val="23EE58B8"/>
    <w:rsid w:val="26F86CAF"/>
    <w:rsid w:val="27347B0E"/>
    <w:rsid w:val="274F0899"/>
    <w:rsid w:val="2BA716FB"/>
    <w:rsid w:val="2E20089A"/>
    <w:rsid w:val="2E713B81"/>
    <w:rsid w:val="32056724"/>
    <w:rsid w:val="3276317E"/>
    <w:rsid w:val="33312800"/>
    <w:rsid w:val="358B6F41"/>
    <w:rsid w:val="387826B4"/>
    <w:rsid w:val="38BD38B5"/>
    <w:rsid w:val="39137979"/>
    <w:rsid w:val="3CD64F45"/>
    <w:rsid w:val="3DBA4867"/>
    <w:rsid w:val="42100EF9"/>
    <w:rsid w:val="44550E45"/>
    <w:rsid w:val="450D7972"/>
    <w:rsid w:val="47232766"/>
    <w:rsid w:val="476475F1"/>
    <w:rsid w:val="4AA06B93"/>
    <w:rsid w:val="4C5E4F57"/>
    <w:rsid w:val="4D6761CB"/>
    <w:rsid w:val="4F6539C1"/>
    <w:rsid w:val="53C77F57"/>
    <w:rsid w:val="5AC62645"/>
    <w:rsid w:val="5B173BB7"/>
    <w:rsid w:val="5D9B2981"/>
    <w:rsid w:val="5E8720EC"/>
    <w:rsid w:val="63920BFC"/>
    <w:rsid w:val="68FB170C"/>
    <w:rsid w:val="692A0243"/>
    <w:rsid w:val="6A4B221F"/>
    <w:rsid w:val="6D170ADE"/>
    <w:rsid w:val="6E166FE8"/>
    <w:rsid w:val="6FBD596D"/>
    <w:rsid w:val="6FD05D04"/>
    <w:rsid w:val="70903082"/>
    <w:rsid w:val="713545F7"/>
    <w:rsid w:val="718801FD"/>
    <w:rsid w:val="718C28F0"/>
    <w:rsid w:val="729329B5"/>
    <w:rsid w:val="75B50E95"/>
    <w:rsid w:val="77C16217"/>
    <w:rsid w:val="7A1268B5"/>
    <w:rsid w:val="7B1C5415"/>
    <w:rsid w:val="7C965F62"/>
    <w:rsid w:val="7DA57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ind w:firstLine="420" w:firstLineChars="200"/>
      <w:jc w:val="both"/>
    </w:pPr>
    <w:rPr>
      <w:rFonts w:ascii="Times New Roman" w:hAnsi="Times New Roman" w:eastAsia="宋体" w:cs="Times New Roman"/>
      <w:kern w:val="2"/>
      <w:sz w:val="21"/>
      <w:lang w:val="en-US" w:eastAsia="zh-CN" w:bidi="ar-SA"/>
    </w:r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unhideWhenUsed/>
    <w:qFormat/>
    <w:uiPriority w:val="99"/>
    <w:pPr>
      <w:ind w:firstLine="420" w:firstLineChars="200"/>
    </w:pPr>
    <w:rPr>
      <w:rFonts w:ascii="Calibri" w:hAnsi="Calibri"/>
      <w:szCs w:val="24"/>
    </w:rPr>
  </w:style>
  <w:style w:type="paragraph" w:customStyle="1" w:styleId="9">
    <w:name w:val="BodyText1I2"/>
    <w:qFormat/>
    <w:uiPriority w:val="0"/>
    <w:pPr>
      <w:widowControl w:val="0"/>
      <w:ind w:left="200" w:leftChars="200" w:firstLine="200" w:firstLineChars="200"/>
      <w:jc w:val="both"/>
    </w:pPr>
    <w:rPr>
      <w:rFonts w:ascii="Calibri" w:hAnsi="Calibri" w:eastAsia="宋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22345</Words>
  <Characters>22619</Characters>
  <Lines>0</Lines>
  <Paragraphs>0</Paragraphs>
  <TotalTime>2</TotalTime>
  <ScaleCrop>false</ScaleCrop>
  <LinksUpToDate>false</LinksUpToDate>
  <CharactersWithSpaces>22712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2024-07-31T08:49:00Z</dcterms:created>
  <dc:creator>Au黄星恺</dc:creator>
  <cp:lastModifiedBy>Au黄星恺</cp:lastModifiedBy>
  <cp:lastPrinted>2024-08-01T07:09:00Z</cp:lastPrinted>
  <dcterms:modified xsi:type="dcterms:W3CDTF">2024-08-05T01:04:50Z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9573AFCBA91F46FC98B89BD5FF488B6F_11</vt:lpwstr>
  </property>
</Properties>
</file>